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9303C" w14:textId="77777777" w:rsidR="008F5F74" w:rsidRPr="00762732" w:rsidRDefault="008F5F74" w:rsidP="008F5F74">
      <w:pPr>
        <w:spacing w:line="360" w:lineRule="auto"/>
        <w:jc w:val="both"/>
        <w:rPr>
          <w:rFonts w:ascii="Narkisim" w:hAnsi="Narkisim" w:cs="Narkisim"/>
          <w:sz w:val="28"/>
          <w:szCs w:val="28"/>
          <w:u w:val="single"/>
          <w:rtl/>
        </w:rPr>
      </w:pPr>
      <w:r w:rsidRPr="00762732">
        <w:rPr>
          <w:rFonts w:ascii="Narkisim" w:hAnsi="Narkisim" w:cs="Narkisim"/>
          <w:sz w:val="28"/>
          <w:szCs w:val="28"/>
          <w:u w:val="single"/>
          <w:rtl/>
        </w:rPr>
        <w:t>חידושי הריטב"א מסכת סוכה דף ט עמוד א</w:t>
      </w:r>
    </w:p>
    <w:p w14:paraId="6FBC3E0B" w14:textId="77777777" w:rsidR="008F5F74" w:rsidRPr="00762732" w:rsidRDefault="008F5F74" w:rsidP="008F5F74">
      <w:pPr>
        <w:spacing w:line="360" w:lineRule="auto"/>
        <w:jc w:val="both"/>
        <w:rPr>
          <w:rFonts w:ascii="Narkisim" w:hAnsi="Narkisim" w:cs="Narkisim"/>
          <w:sz w:val="28"/>
          <w:szCs w:val="28"/>
          <w:rtl/>
        </w:rPr>
      </w:pPr>
      <w:r w:rsidRPr="00762732">
        <w:rPr>
          <w:rFonts w:ascii="Narkisim" w:hAnsi="Narkisim" w:cs="Narkisim"/>
          <w:sz w:val="28"/>
          <w:szCs w:val="28"/>
          <w:rtl/>
        </w:rPr>
        <w:t>הא דאמרינן ההוא מיבעי ליה למעוטי סוכה גזולה. תמיהא מילתא הא למה לי קרא תיפוק ליה דהוה ליה מצוה הבאה בעבירה כדאמרינן בקרבן ובלולב, תירצו בתוספות דליכא למימר מצוה הבאה בעבירה אלא בדבר הבא לרצות כקרבן ולולב אבל לא בשאר מצות</w:t>
      </w:r>
    </w:p>
    <w:p w14:paraId="23A51A71" w14:textId="77777777" w:rsidR="008F5F74" w:rsidRPr="00762732" w:rsidRDefault="008F5F74" w:rsidP="008F5F74">
      <w:pPr>
        <w:spacing w:line="360" w:lineRule="auto"/>
        <w:jc w:val="both"/>
        <w:rPr>
          <w:rFonts w:ascii="Narkisim" w:hAnsi="Narkisim" w:cs="Narkisim"/>
          <w:sz w:val="28"/>
          <w:szCs w:val="28"/>
          <w:u w:val="single"/>
          <w:rtl/>
        </w:rPr>
      </w:pPr>
      <w:r w:rsidRPr="00762732">
        <w:rPr>
          <w:rFonts w:ascii="Narkisim" w:hAnsi="Narkisim" w:cs="Narkisim"/>
          <w:sz w:val="28"/>
          <w:szCs w:val="28"/>
          <w:u w:val="single"/>
          <w:rtl/>
        </w:rPr>
        <w:t>חידושי הריטב"א מסכת סוכה דף ט עמוד א</w:t>
      </w:r>
    </w:p>
    <w:p w14:paraId="0FF43101" w14:textId="77777777" w:rsidR="008F5F74" w:rsidRPr="00762732" w:rsidRDefault="008F5F74" w:rsidP="008F5F74">
      <w:pPr>
        <w:spacing w:line="360" w:lineRule="auto"/>
        <w:jc w:val="both"/>
        <w:rPr>
          <w:rFonts w:ascii="Narkisim" w:hAnsi="Narkisim" w:cs="Narkisim"/>
          <w:sz w:val="28"/>
          <w:szCs w:val="28"/>
          <w:rtl/>
        </w:rPr>
      </w:pPr>
      <w:r w:rsidRPr="00762732">
        <w:rPr>
          <w:rFonts w:ascii="Narkisim" w:hAnsi="Narkisim" w:cs="Narkisim"/>
          <w:sz w:val="28"/>
          <w:szCs w:val="28"/>
          <w:rtl/>
        </w:rPr>
        <w:t>וליתא כדמוכח בירושלמי בפסחים גבי מצה גזולה והתם נמי מוכח קצת דמצוה הבאה בעבירה איסור תורה הוא, וי"ל דאנן השתא לשמואל קיימינן דלית ליה מצוה הבאה בעבירה בפרק לולב הגזול ומשום הכי אצטריך ליה קרא למעוטי גזולה, אי נמי דאפילו לכולי עלמא נמי איצטריך ומשום דבלולב אסר רחמנא גזול ושאול וחזינן גבי סוכה דשרא רחמנא מדכתיב כל האזרח בישראל כו' מלמד שכל ישראל ראוין לישב בסוכה אחת כדאיתא לקמן, הוה ס"ד דהוא הדין דשרא גזולה ולא חש משום מצוה הבאה בעבירה כיון שאינה באה לרצות, קמ"ל לך שלך תהא למעוטי גזולה דאפילו בדבר שאינו בא לרצות איכא משום מצוה הבאה בעבירה.</w:t>
      </w:r>
    </w:p>
    <w:p w14:paraId="26089F93" w14:textId="77777777" w:rsidR="008F5F74" w:rsidRPr="00762732" w:rsidRDefault="008F5F74" w:rsidP="008F5F74">
      <w:pPr>
        <w:spacing w:line="360" w:lineRule="auto"/>
        <w:jc w:val="both"/>
        <w:rPr>
          <w:rFonts w:ascii="Narkisim" w:hAnsi="Narkisim" w:cs="Narkisim"/>
          <w:sz w:val="28"/>
          <w:szCs w:val="28"/>
          <w:u w:val="single"/>
          <w:rtl/>
        </w:rPr>
      </w:pPr>
      <w:r w:rsidRPr="00762732">
        <w:rPr>
          <w:rFonts w:ascii="Narkisim" w:hAnsi="Narkisim" w:cs="Narkisim"/>
          <w:sz w:val="28"/>
          <w:szCs w:val="28"/>
          <w:u w:val="single"/>
          <w:rtl/>
        </w:rPr>
        <w:t>חידושי הריטב"א מסכת סוכה דף לא עמוד א</w:t>
      </w:r>
    </w:p>
    <w:p w14:paraId="3D985C60" w14:textId="7A872749" w:rsidR="00A67E10" w:rsidRPr="008F5F74" w:rsidRDefault="008F5F74" w:rsidP="008F5F74">
      <w:pPr>
        <w:spacing w:line="360" w:lineRule="auto"/>
        <w:jc w:val="both"/>
        <w:rPr>
          <w:rFonts w:ascii="Narkisim" w:hAnsi="Narkisim" w:cs="Narkisim"/>
          <w:sz w:val="28"/>
          <w:szCs w:val="28"/>
        </w:rPr>
      </w:pPr>
      <w:r w:rsidRPr="00762732">
        <w:rPr>
          <w:rFonts w:ascii="Narkisim" w:hAnsi="Narkisim" w:cs="Narkisim"/>
          <w:sz w:val="28"/>
          <w:szCs w:val="28"/>
          <w:rtl/>
        </w:rPr>
        <w:t>והקשו בתוספות מ"מ כיון שתקפה מחברו הא איכא מצוה הבאה בעבירה, ותירצו דלא אמרינן מצוה הבאה בעבירה אלא בדבר שהוא בא לרצות כגון קרבן שופר ולולב וכיוצא בהם, אבל בסוכה שאין בה ריצוי ליכא משום מצוה הבאה בעבירה, ולא נראה דהא בירושלמי חששו למצה של טבל ולמצה גזולה משום מצוה הבאה בעבירה וכדכתיבנא התם, אבל הנכון דהכא כיון דלא קני לה כלל וברשותיה דמאריה איתא ואין המצוה מוציאתה מרשות בעליה לא חשיבא מצוה הבאה בעבירה, והרי הוא כאילו היתה שדה דעלמא גזולה ברשותו שאע"פ שעבירה בידו אין הסוכה נפסלת בכך, כנ"ל.</w:t>
      </w:r>
      <w:bookmarkStart w:id="0" w:name="_GoBack"/>
      <w:bookmarkEnd w:id="0"/>
    </w:p>
    <w:sectPr w:rsidR="00A67E10" w:rsidRPr="008F5F74" w:rsidSect="00881A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74"/>
    <w:rsid w:val="008F5F74"/>
    <w:rsid w:val="00A67E10"/>
    <w:rsid w:val="00D40A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F65F"/>
  <w15:chartTrackingRefBased/>
  <w15:docId w15:val="{833F287D-A1EE-4715-B10D-940B763F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1143</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אליה קרוגר</dc:creator>
  <cp:keywords/>
  <dc:description/>
  <cp:lastModifiedBy>אליה קרוגר</cp:lastModifiedBy>
  <cp:revision>1</cp:revision>
  <dcterms:created xsi:type="dcterms:W3CDTF">2020-10-02T08:50:00Z</dcterms:created>
  <dcterms:modified xsi:type="dcterms:W3CDTF">2020-10-02T08:51:00Z</dcterms:modified>
</cp:coreProperties>
</file>