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02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יחזור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וישתה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ישתה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0B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להראות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וזכרת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בעצמך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עבד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ונפדית</w:t>
      </w:r>
      <w:r w:rsidDel="00000000" w:rsidR="00000000" w:rsidRPr="00000000">
        <w:rPr>
          <w:sz w:val="24"/>
          <w:szCs w:val="24"/>
          <w:rtl w:val="1"/>
        </w:rPr>
        <w:t xml:space="preserve">.  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- 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כשסועד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ולשתות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נשים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פוחתין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המתפרנס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.  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שיסב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ואימתי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אכילת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כזית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ובשתיית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ארבעה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כוסות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ושאר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אכילתו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ושתייתו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משובח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"...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. ....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.....</w:t>
      </w:r>
      <w:r w:rsidDel="00000000" w:rsidR="00000000" w:rsidRPr="00000000">
        <w:rPr>
          <w:sz w:val="24"/>
          <w:szCs w:val="24"/>
          <w:rtl w:val="1"/>
        </w:rPr>
        <w:t xml:space="preserve">וברא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הזה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ובזמן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רגילות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בארצינו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&lt;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&gt;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רגילות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כדרכו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קפידא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לרמז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החירות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ירמז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לרמז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בדיעבד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היסב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האגודה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בהסיבה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למיזגא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למזגא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באיזה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דברים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בתרתי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דהשתא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מתחלא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אדרבה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כסי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בתראי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כסי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דאכתי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עבדים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קאמר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משתעי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בחירות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ובגאולה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גאולה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הסעודה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כשמברכין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ובאפיקומן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</w:p>
    <w:p w:rsidR="00000000" w:rsidDel="00000000" w:rsidP="00000000" w:rsidRDefault="00000000" w:rsidRPr="00000000" w14:paraId="00000031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line="256.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חלאווה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המשנה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התוספותא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פסחים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ערבי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התמחוי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מזגו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מזגו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הלילות</w:t>
      </w:r>
      <w:r w:rsidDel="00000000" w:rsidR="00000000" w:rsidRPr="00000000">
        <w:rPr>
          <w:rtl w:val="1"/>
        </w:rPr>
        <w:t xml:space="preserve"> ....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והגדת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הללויה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מזגו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מפטירין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נתנמנמו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תוספתא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פסחים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ליברמן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ומראה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מזגו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שתאמר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קוצים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אצלם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לברכנוכם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פוחתין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חוטפין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חלמיש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והחרוסת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[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לתגרי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מפטירין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תלמידו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המדרש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הזבח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Present- Feel Cheirut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Reliving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יציאת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מצריים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תוספתא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שירות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תשבחות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הלל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דגש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סדר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משנה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סיפור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יציאת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מצרים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הגדה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\</w:t>
            </w:r>
            <w:r w:rsidDel="00000000" w:rsidR="00000000" w:rsidRPr="00000000">
              <w:rPr>
                <w:rtl w:val="1"/>
              </w:rPr>
              <w:t xml:space="preserve">תוס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מעכב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הסיבה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מעכב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וצריך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לחזור</w:t>
            </w:r>
            <w:r w:rsidDel="00000000" w:rsidR="00000000" w:rsidRPr="00000000">
              <w:rPr>
                <w:rtl w:val="1"/>
              </w:rPr>
              <w:t xml:space="preserve">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מעכב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דרין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כוסות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מהות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הדין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גרי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מצוות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הסיבה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1"/>
              </w:rPr>
              <w:t xml:space="preserve">ראבי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בזמננו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1"/>
              </w:rPr>
              <w:t xml:space="preserve">מהרש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לרמז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בזמנם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רשב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כפופוה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מרגישה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ההסיבה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אשה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בהסיבה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שאילתות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rules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of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ancient </w:t>
            </w:r>
            <w:r w:rsidDel="00000000" w:rsidR="00000000" w:rsidRPr="00000000">
              <w:rPr>
                <w:rtl w:val="0"/>
              </w:rPr>
              <w:t xml:space="preserve">ettiquet 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שבשניים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אמרנו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ברכת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גאולה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הרגיש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הגאולה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בהסיבת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כוסות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הראשונות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תחילת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גאולת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מצריים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שאז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הגאולה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בהגדה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כוסות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אחריונות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שאז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חורין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  <w:t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חלאווה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מדינא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משמע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