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3" w:rsidRDefault="00B21EEF" w:rsidP="00F23340">
      <w:pPr>
        <w:pStyle w:val="Title"/>
        <w:bidi/>
        <w:jc w:val="center"/>
      </w:pPr>
      <w:r>
        <w:t xml:space="preserve">BRS Summer </w:t>
      </w:r>
      <w:proofErr w:type="spellStart"/>
      <w:r>
        <w:t>Kollel</w:t>
      </w:r>
      <w:proofErr w:type="spellEnd"/>
    </w:p>
    <w:p w:rsidR="00B21EEF" w:rsidRDefault="00B21EEF" w:rsidP="00F23340">
      <w:pPr>
        <w:pStyle w:val="Title"/>
        <w:bidi/>
        <w:jc w:val="center"/>
        <w:rPr>
          <w:rFonts w:hint="cs"/>
          <w:rtl/>
        </w:rPr>
      </w:pPr>
      <w:r>
        <w:t xml:space="preserve">Week #1 / </w:t>
      </w:r>
      <w:proofErr w:type="spellStart"/>
      <w:r>
        <w:t>Shiur</w:t>
      </w:r>
      <w:proofErr w:type="spellEnd"/>
      <w:r>
        <w:t xml:space="preserve"> #1</w:t>
      </w:r>
    </w:p>
    <w:p w:rsidR="00B21EEF" w:rsidRDefault="00B21EEF" w:rsidP="00F23340">
      <w:pPr>
        <w:pStyle w:val="Title"/>
        <w:bidi/>
        <w:jc w:val="center"/>
        <w:rPr>
          <w:rFonts w:hint="cs"/>
          <w:rtl/>
        </w:rPr>
      </w:pPr>
      <w:r>
        <w:rPr>
          <w:rFonts w:hint="cs"/>
          <w:rtl/>
        </w:rPr>
        <w:t>מתנות בזמן הזה \ עיון בפסולי המוקדשין</w:t>
      </w:r>
    </w:p>
    <w:p w:rsidR="00B21EEF" w:rsidRDefault="00B21EEF" w:rsidP="00B21EEF">
      <w:pPr>
        <w:pStyle w:val="Heading1"/>
        <w:bidi/>
        <w:jc w:val="both"/>
        <w:rPr>
          <w:rtl/>
        </w:rPr>
        <w:sectPr w:rsidR="00B21EEF" w:rsidSect="00E407AA">
          <w:pgSz w:w="12240" w:h="15840"/>
          <w:pgMar w:top="1440" w:right="1440" w:bottom="1440" w:left="1440" w:header="720" w:footer="720" w:gutter="0"/>
          <w:cols w:space="720"/>
          <w:docGrid w:linePitch="360"/>
        </w:sectPr>
      </w:pPr>
    </w:p>
    <w:p w:rsidR="00832FEB" w:rsidRDefault="00832FEB" w:rsidP="00B21EEF">
      <w:pPr>
        <w:pStyle w:val="Heading1"/>
        <w:bidi/>
        <w:jc w:val="both"/>
        <w:rPr>
          <w:rFonts w:hint="cs"/>
          <w:rtl/>
        </w:rPr>
      </w:pPr>
      <w:r>
        <w:rPr>
          <w:rFonts w:hint="cs"/>
          <w:rtl/>
        </w:rPr>
        <w:lastRenderedPageBreak/>
        <w:t>חולין קל</w:t>
      </w:r>
    </w:p>
    <w:p w:rsidR="00832FEB" w:rsidRDefault="00832FEB" w:rsidP="00B21EEF">
      <w:pPr>
        <w:bidi/>
        <w:jc w:val="both"/>
        <w:rPr>
          <w:rFonts w:cs="Arial"/>
        </w:rPr>
      </w:pPr>
      <w:r w:rsidRPr="00832FEB">
        <w:rPr>
          <w:rFonts w:cs="Arial"/>
          <w:rtl/>
        </w:rPr>
        <w:t>הזרוע והלחיים והקבה נוהגין בארץ ובחוצה לארץ, בפני הבית ושלא בפני הבית, בחולין אבל לא במוקדשין</w:t>
      </w:r>
    </w:p>
    <w:p w:rsidR="00832FEB" w:rsidRDefault="00832FEB" w:rsidP="00B21EEF">
      <w:pPr>
        <w:pStyle w:val="Heading1"/>
        <w:bidi/>
        <w:jc w:val="both"/>
      </w:pPr>
      <w:r>
        <w:rPr>
          <w:rFonts w:hint="cs"/>
          <w:rtl/>
        </w:rPr>
        <w:t>רש"י שם</w:t>
      </w:r>
    </w:p>
    <w:p w:rsidR="00832FEB" w:rsidRDefault="00832FEB" w:rsidP="00B21EEF">
      <w:pPr>
        <w:bidi/>
        <w:jc w:val="both"/>
        <w:rPr>
          <w:rFonts w:cs="Arial" w:hint="cs"/>
          <w:rtl/>
        </w:rPr>
      </w:pPr>
      <w:r w:rsidRPr="00832FEB">
        <w:rPr>
          <w:rFonts w:cs="Arial"/>
          <w:rtl/>
        </w:rPr>
        <w:t>מתני'. הזרוע והלחיים - בארץ ובחוצה לארץ - משום דבעי למימר בחולין אבל לא במוקדשין נקט להו.</w:t>
      </w:r>
    </w:p>
    <w:p w:rsidR="00832FEB" w:rsidRDefault="00832FEB" w:rsidP="00B21EEF">
      <w:pPr>
        <w:pStyle w:val="Heading1"/>
        <w:bidi/>
        <w:jc w:val="both"/>
        <w:rPr>
          <w:rFonts w:hint="cs"/>
          <w:rtl/>
        </w:rPr>
      </w:pPr>
      <w:r>
        <w:rPr>
          <w:rFonts w:hint="cs"/>
          <w:rtl/>
        </w:rPr>
        <w:t>רמב"ם הלכות ביכורים ט:א</w:t>
      </w:r>
    </w:p>
    <w:p w:rsidR="00832FEB" w:rsidRDefault="00832FEB" w:rsidP="00B21EEF">
      <w:pPr>
        <w:bidi/>
        <w:jc w:val="both"/>
        <w:rPr>
          <w:rFonts w:cs="Arial" w:hint="cs"/>
          <w:rtl/>
        </w:rPr>
      </w:pPr>
      <w:r w:rsidRPr="00832FEB">
        <w:rPr>
          <w:rFonts w:cs="Arial"/>
          <w:rtl/>
        </w:rPr>
        <w:t>(א) מצות עשה (ב) ליתן (ג) כל (ד) זובח (ה) בהמה טהורה (ו) לכהן (ז) הזרוע והלחיים והקיבה, שנאמר וזה יהיה משפט הכהנים, (ח) ואלו הם הנקראים בכל מקום מתנות, ומצוה זו נוהגת (ט) תמיד בין בפני הבית (י) בין שלא בפני</w:t>
      </w:r>
      <w:r w:rsidR="00904208">
        <w:rPr>
          <w:rFonts w:cs="Arial"/>
          <w:rtl/>
        </w:rPr>
        <w:t xml:space="preserve"> הבית, ובכל מקום בין בארץ (יא)</w:t>
      </w:r>
      <w:r w:rsidRPr="00832FEB">
        <w:rPr>
          <w:rFonts w:cs="Arial"/>
          <w:rtl/>
        </w:rPr>
        <w:t xml:space="preserve"> בין בחוצה לארץ, ובחולין (יב) אבל לא במוקדשין.</w:t>
      </w:r>
    </w:p>
    <w:p w:rsidR="00832FEB" w:rsidRDefault="00832FEB" w:rsidP="00B21EEF">
      <w:pPr>
        <w:pStyle w:val="Heading1"/>
        <w:bidi/>
        <w:jc w:val="both"/>
        <w:rPr>
          <w:rFonts w:hint="cs"/>
          <w:rtl/>
        </w:rPr>
      </w:pPr>
      <w:r>
        <w:rPr>
          <w:rFonts w:hint="cs"/>
          <w:rtl/>
        </w:rPr>
        <w:t>מעשה רב</w:t>
      </w:r>
      <w:r w:rsidR="00904208">
        <w:rPr>
          <w:rFonts w:hint="cs"/>
          <w:rtl/>
        </w:rPr>
        <w:t>, אות קג</w:t>
      </w:r>
    </w:p>
    <w:p w:rsidR="00832FEB" w:rsidRDefault="00832FEB" w:rsidP="00B21EEF">
      <w:pPr>
        <w:bidi/>
        <w:jc w:val="both"/>
        <w:rPr>
          <w:rFonts w:cs="Arial" w:hint="cs"/>
          <w:rtl/>
        </w:rPr>
      </w:pPr>
      <w:r w:rsidRPr="00832FEB">
        <w:rPr>
          <w:rFonts w:cs="Arial"/>
          <w:rtl/>
        </w:rPr>
        <w:t>קג וגם שחט עגל ונתן זרוע ולחיים עם הלשון והקיבה לכהן ובירך ג"כ שהחיינו ואמר שהזרוע הוא עצם אחד דלא כפוסקים אעפ"כ נתן שני עצמות:</w:t>
      </w:r>
    </w:p>
    <w:p w:rsidR="00832FEB" w:rsidRDefault="00832FEB" w:rsidP="00B21EEF">
      <w:pPr>
        <w:pStyle w:val="Heading1"/>
        <w:bidi/>
        <w:jc w:val="both"/>
        <w:rPr>
          <w:rFonts w:hint="cs"/>
          <w:rtl/>
        </w:rPr>
      </w:pPr>
      <w:r>
        <w:rPr>
          <w:rFonts w:hint="cs"/>
          <w:rtl/>
        </w:rPr>
        <w:t>שו"ע יו"ד סא:כא</w:t>
      </w:r>
    </w:p>
    <w:p w:rsidR="00832FEB" w:rsidRDefault="00832FEB" w:rsidP="00B21EEF">
      <w:pPr>
        <w:bidi/>
        <w:jc w:val="both"/>
        <w:rPr>
          <w:rFonts w:cs="Arial" w:hint="cs"/>
          <w:rtl/>
        </w:rPr>
      </w:pPr>
      <w:r w:rsidRPr="00832FEB">
        <w:rPr>
          <w:rFonts w:cs="Arial"/>
          <w:rtl/>
        </w:rPr>
        <w:t>מתנות קל'&gt; נוהגות בכל מקום, בין בארץ בין בחוצה לארץ, קלא'&gt; בין בפני הבית (פי' בזמן שבית המקדש קיים) בין קלב'&gt; שלא בפני הבית. }ג{ ויש כ] מי שאומר (ז) קלג'&gt; שאינן נוהגות בחוצה לארץ, (ח) כד) [ו] לב&gt; וכן קלד'&gt; נהגו</w:t>
      </w:r>
    </w:p>
    <w:p w:rsidR="00832FEB" w:rsidRDefault="00832FEB" w:rsidP="00B21EEF">
      <w:pPr>
        <w:pStyle w:val="Heading1"/>
        <w:bidi/>
        <w:jc w:val="both"/>
        <w:rPr>
          <w:rFonts w:hint="cs"/>
          <w:rtl/>
        </w:rPr>
      </w:pPr>
      <w:r>
        <w:rPr>
          <w:rFonts w:hint="cs"/>
          <w:rtl/>
        </w:rPr>
        <w:lastRenderedPageBreak/>
        <w:t>טור יו"ד סא</w:t>
      </w:r>
    </w:p>
    <w:p w:rsidR="00832FEB" w:rsidRDefault="00832FEB" w:rsidP="00B21EEF">
      <w:pPr>
        <w:bidi/>
        <w:jc w:val="both"/>
        <w:rPr>
          <w:rFonts w:cs="Arial" w:hint="cs"/>
          <w:rtl/>
        </w:rPr>
      </w:pPr>
      <w:r w:rsidRPr="00832FEB">
        <w:rPr>
          <w:rFonts w:cs="Arial"/>
          <w:rtl/>
        </w:rPr>
        <w:t>ונוהגין בין בארץ ישראל בין בחוצ</w:t>
      </w:r>
      <w:r>
        <w:rPr>
          <w:rFonts w:cs="Arial"/>
          <w:rtl/>
        </w:rPr>
        <w:t>ה לארץ ובכל זמן כ"כ הרמב"ם</w:t>
      </w:r>
      <w:r>
        <w:rPr>
          <w:rFonts w:cs="Arial" w:hint="cs"/>
          <w:rtl/>
        </w:rPr>
        <w:t xml:space="preserve"> </w:t>
      </w:r>
      <w:r w:rsidRPr="00832FEB">
        <w:rPr>
          <w:rFonts w:cs="Arial"/>
          <w:rtl/>
        </w:rPr>
        <w:t>ורש"י פסק שאין נוהגין בזמן הזה וכ"כ ה"ר מאיר מרוטנבור"ק וכן נוהגין</w:t>
      </w:r>
    </w:p>
    <w:p w:rsidR="00832FEB" w:rsidRDefault="00832FEB" w:rsidP="00B21EEF">
      <w:pPr>
        <w:pStyle w:val="Heading1"/>
        <w:bidi/>
        <w:jc w:val="both"/>
        <w:rPr>
          <w:rFonts w:hint="cs"/>
          <w:rtl/>
        </w:rPr>
      </w:pPr>
      <w:r>
        <w:rPr>
          <w:rFonts w:hint="cs"/>
          <w:rtl/>
        </w:rPr>
        <w:t>רש"י קלח:</w:t>
      </w:r>
    </w:p>
    <w:p w:rsidR="00832FEB" w:rsidRDefault="00832FEB" w:rsidP="00B21EEF">
      <w:pPr>
        <w:bidi/>
        <w:jc w:val="both"/>
        <w:rPr>
          <w:rFonts w:cs="Arial" w:hint="cs"/>
          <w:rtl/>
        </w:rPr>
      </w:pPr>
      <w:r w:rsidRPr="00832FEB">
        <w:rPr>
          <w:rFonts w:cs="Arial"/>
          <w:rtl/>
        </w:rPr>
        <w:t>לבד מראשית הגז לאפוקי מדרבי אלעאי - דמקיש לה לתרומה וה"ה נמי במתנות נשנית לצורך דהא רבי אלעאי יליף מתנות מראשית הגז והא דנקט ראשית הגז משום דעלה א"ר אלעאי בהדיא כדאמר לעיל רבי אלעאי אומר ראשית הגז אינה נוהגת אלא בארץ.</w:t>
      </w:r>
    </w:p>
    <w:p w:rsidR="00904208" w:rsidRDefault="00904208" w:rsidP="00B21EEF">
      <w:pPr>
        <w:bidi/>
        <w:jc w:val="both"/>
        <w:rPr>
          <w:rFonts w:cs="Arial" w:hint="cs"/>
          <w:rtl/>
        </w:rPr>
      </w:pPr>
    </w:p>
    <w:p w:rsidR="00904208" w:rsidRDefault="00904208"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B21EEF" w:rsidRDefault="00B21EEF" w:rsidP="00B21EEF">
      <w:pPr>
        <w:bidi/>
        <w:jc w:val="both"/>
        <w:rPr>
          <w:rFonts w:cs="Arial" w:hint="cs"/>
          <w:rtl/>
        </w:rPr>
      </w:pPr>
    </w:p>
    <w:p w:rsidR="00904208" w:rsidRDefault="00B21EEF" w:rsidP="00B21EEF">
      <w:pPr>
        <w:pStyle w:val="Heading1"/>
        <w:bidi/>
        <w:jc w:val="both"/>
        <w:rPr>
          <w:rFonts w:hint="cs"/>
          <w:rtl/>
        </w:rPr>
      </w:pPr>
      <w:r>
        <w:rPr>
          <w:rFonts w:hint="cs"/>
          <w:rtl/>
        </w:rPr>
        <w:lastRenderedPageBreak/>
        <w:t>חולין קל.</w:t>
      </w:r>
    </w:p>
    <w:p w:rsidR="00904208" w:rsidRDefault="00904208" w:rsidP="00B21EEF">
      <w:pPr>
        <w:bidi/>
        <w:jc w:val="both"/>
        <w:rPr>
          <w:rFonts w:cs="Arial" w:hint="cs"/>
          <w:rtl/>
        </w:rPr>
      </w:pPr>
      <w:r w:rsidRPr="00904208">
        <w:rPr>
          <w:rFonts w:cs="Arial"/>
          <w:rtl/>
        </w:rPr>
        <w:t>כל הקדשים שקדם מום קבוע להקדשן ונפדו - חייבין בבכורה ובמתנות, ויוצאין לחולין להגזז ולהעבד, וולדן וחלבן מותר לאחר פדיונן, והשוחטן בחוץ פטור, ואין עושין תמורה, ואם מתו יפדו, חוץ מן הבכור ומן המעשר. כל שקדם הקדשן את מומן, או מום עובר קודם להקדשן ולאחר מכאן נולד להם מום קבוע, ונפדו - פטורין מן הבכורה ומן המתנות, ואינן יוצאין לחולין להגזז ולהעבד, וולדן וחלבן אסור לאחר פדיונן, והשוחטן בחוץ חייב, ועושין תמורה, ואם מתו יקברו.</w:t>
      </w:r>
    </w:p>
    <w:p w:rsidR="00904208" w:rsidRDefault="00904208" w:rsidP="00B21EEF">
      <w:pPr>
        <w:pStyle w:val="Heading1"/>
        <w:bidi/>
        <w:jc w:val="both"/>
        <w:rPr>
          <w:rFonts w:hint="cs"/>
          <w:rtl/>
        </w:rPr>
      </w:pPr>
      <w:r>
        <w:rPr>
          <w:rFonts w:hint="cs"/>
          <w:rtl/>
        </w:rPr>
        <w:t xml:space="preserve">תוספות חולין צח: ד"ה רבא </w:t>
      </w:r>
    </w:p>
    <w:p w:rsidR="00904208" w:rsidRDefault="00904208" w:rsidP="00B21EEF">
      <w:pPr>
        <w:bidi/>
        <w:jc w:val="both"/>
        <w:rPr>
          <w:rFonts w:cs="Arial" w:hint="cs"/>
          <w:rtl/>
        </w:rPr>
      </w:pPr>
      <w:r w:rsidRPr="00904208">
        <w:rPr>
          <w:rFonts w:cs="Arial"/>
          <w:rtl/>
        </w:rPr>
        <w:t>והרב רבי יוסף מאורליינ"ש היה מפרש דאע"ג דטעם כעיקר דאורייתא לא לקי אטעם אפי' שלא במינו דרבי יוחנן סבר לה כר"ע דיליף טעם כעיקר מגיעולי עובדי כוכבים וליכא אלא עשה דתעבירו באש דמצריך ליבון והגעלה ור"ת השיב לו דאית לן למימר דאהדרינהו לאיסוריה כדאמרי' בהלוקח עובר פרתו (בכורות טו:) דתנן הגוזז והעובד פי' בפסולי המוקדשין סופג את הארבעים ואע"ג דלא נפקא לן אלא מתזבח ולא גיזה אלא היינו טעמא משום דאהדריה לאיסוריה דלא תעבוד ולא תגוז</w:t>
      </w:r>
    </w:p>
    <w:p w:rsidR="00434F47" w:rsidRDefault="00434F47" w:rsidP="00B21EEF">
      <w:pPr>
        <w:pStyle w:val="Heading1"/>
        <w:bidi/>
        <w:jc w:val="both"/>
        <w:rPr>
          <w:rFonts w:hint="cs"/>
          <w:rtl/>
        </w:rPr>
      </w:pPr>
      <w:r>
        <w:rPr>
          <w:rFonts w:hint="cs"/>
          <w:rtl/>
        </w:rPr>
        <w:t>בכורות לב:-לג.</w:t>
      </w:r>
    </w:p>
    <w:p w:rsidR="00904208" w:rsidRDefault="00904208" w:rsidP="00B21EEF">
      <w:pPr>
        <w:bidi/>
        <w:jc w:val="both"/>
      </w:pPr>
      <w:r>
        <w:rPr>
          <w:rFonts w:cs="Arial"/>
          <w:rtl/>
        </w:rPr>
        <w:t xml:space="preserve">מתני'. בש"א: לא ימנה ישראל עם הכהן לבכור, וב"ה מתירין, ואפי' עובד כוכבים.  </w:t>
      </w:r>
    </w:p>
    <w:p w:rsidR="00904208" w:rsidRDefault="00904208" w:rsidP="00B21EEF">
      <w:pPr>
        <w:bidi/>
        <w:jc w:val="both"/>
        <w:rPr>
          <w:rFonts w:cs="Arial" w:hint="cs"/>
          <w:rtl/>
        </w:rPr>
      </w:pPr>
      <w:r>
        <w:rPr>
          <w:rFonts w:cs="Arial"/>
          <w:rtl/>
        </w:rPr>
        <w:t>גמ'. מתני' מני? ר"ע היא, דתניא: בכור, אין נמנין עליו אלא חבורה שכולה כהנים, דברי בית שמאי, וב"ה אומרים: אפילו זרים, רבי עקיבא מתיר אפי' עובד כוכבים. מ"ט דב"ש? דכתי': בובשרם יהיה לך וגו' מה התם - כהנים אין, ישראל לא, אף הכא - כהנים אין ישראל לא.</w:t>
      </w:r>
      <w:r>
        <w:rPr>
          <w:rFonts w:cs="Arial" w:hint="cs"/>
          <w:rtl/>
        </w:rPr>
        <w:t xml:space="preserve">  </w:t>
      </w:r>
      <w:r w:rsidRPr="00904208">
        <w:rPr>
          <w:rFonts w:cs="Arial"/>
          <w:rtl/>
        </w:rPr>
        <w:t xml:space="preserve">ובית הלל; הני מילי - תם, אבל בעל מום כתיב אהטמא והטהור יחדיו יאכלנו, ומה טמא שאינו אוכל בקדשים קלים - אוכל בבכור, זר שאוכל בקדשים קלים - אינו דין שיאכל בבכור? איכא למיפרך: מה לטמא - שכן הותר מכללו בעבודת צבור, וב"ה: אטו בעבודה קאמר? באכילה קאמרינן, אכילת זר עדיף. ורבי עקיבא מתיר ואפי' עובדי כוכבים מ"ט דרבי עקיבא? כצבי וכאיל - מה צבי ואיל מותר לעובדי כוכבים, אף פסולין - מותר לעובדי כוכבים. ואידך - תלתא צבי ואיל כתיבי, חד - לכדרבי יצחק, (וחד - לכדר') [ור'] אושעיא, וחד - לכדרבי אלעזר הקפר. ואידך - מה צבי ואיל פטורים מן </w:t>
      </w:r>
      <w:r w:rsidRPr="00904208">
        <w:rPr>
          <w:rFonts w:cs="Arial"/>
          <w:rtl/>
        </w:rPr>
        <w:lastRenderedPageBreak/>
        <w:t>הבכורה, אף פסולי המוקדשין - פטורין מן הבכורה. ת"ר, בכור אין מאכילין אותו לנדות, דברי בית שמאי, וב"ה אומרים: מאכילין אותו לנדות. מ"ט דב"ש? דכתיב: בובשרם יהיה לך, מה התם - נדות לא, אף הכא - נדות לא. וב"ה: הני מילי - תם, אבל בעל מום - הטמא והטהור אכלה. וב"ש - ה"מ היכא דאין טומאה יוצאה עליו מגופו, אבל היכא דטומאה יוצאה עליו מגופו - לא, דאשכחן דפליג רחמנא בין טומאה יוצאה עליו מגופו, לבין שאין טומאה יוצאה עליו מגופו, דתנן: הפסח שבא בטומאה - לא יאכלו ממנו זבים ומצורעין וזבות ונדות ויולדות. וב"ה: התם הוא דגלי רחמנא גטמא נפש, אבל הכא - טמא סתמא כתיב, לא שנא. ת"ר: אין מרגילין ביום טוב, כיוצא בו אין מרגילין בבכור, ולא בפסולי המוקדשין בשלמא יום טוב - דקא טרח טירחא דלא חזי ליה, אלא בכור, מאן תנא? אמר רב חסדא: בית שמאי היא, דאמר אין מאכילין אותו לנדות.</w:t>
      </w:r>
    </w:p>
    <w:p w:rsidR="00434F47" w:rsidRDefault="00434F47" w:rsidP="00B21EEF">
      <w:pPr>
        <w:pStyle w:val="Heading1"/>
        <w:bidi/>
        <w:jc w:val="both"/>
        <w:rPr>
          <w:rFonts w:hint="cs"/>
          <w:rtl/>
        </w:rPr>
      </w:pPr>
      <w:r>
        <w:rPr>
          <w:rFonts w:hint="cs"/>
          <w:rtl/>
        </w:rPr>
        <w:t>רש"י שם</w:t>
      </w:r>
    </w:p>
    <w:p w:rsidR="00904208" w:rsidRDefault="00904208" w:rsidP="00B21EEF">
      <w:pPr>
        <w:bidi/>
        <w:jc w:val="both"/>
        <w:rPr>
          <w:rFonts w:hint="cs"/>
          <w:rtl/>
        </w:rPr>
      </w:pPr>
      <w:r w:rsidRPr="00904208">
        <w:rPr>
          <w:rFonts w:cs="Arial"/>
          <w:rtl/>
        </w:rPr>
        <w:t>ב"ש היא - דסברי בכור בעל מום בקדושתו קאי אפי' לאחר שחיטה כתם וכי היכי דתם אין מרגילין משום בזיון דקדשים דפוגם הבשר דמתיירא לחתוך העור וחותך הבשר בבעל מום נמי אין מרגילין.</w:t>
      </w:r>
    </w:p>
    <w:p w:rsidR="00434F47" w:rsidRDefault="00434F47" w:rsidP="00B21EEF">
      <w:pPr>
        <w:pStyle w:val="Heading1"/>
        <w:bidi/>
        <w:jc w:val="both"/>
        <w:rPr>
          <w:rFonts w:hint="cs"/>
          <w:rtl/>
        </w:rPr>
      </w:pPr>
      <w:r>
        <w:rPr>
          <w:rFonts w:hint="cs"/>
          <w:rtl/>
        </w:rPr>
        <w:t>מכות כב.</w:t>
      </w:r>
    </w:p>
    <w:p w:rsidR="00434F47" w:rsidRDefault="00434F47" w:rsidP="00B21EEF">
      <w:pPr>
        <w:bidi/>
        <w:jc w:val="both"/>
        <w:rPr>
          <w:rFonts w:cs="Arial" w:hint="cs"/>
          <w:rtl/>
        </w:rPr>
      </w:pPr>
      <w:r w:rsidRPr="00434F47">
        <w:rPr>
          <w:rFonts w:cs="Arial"/>
          <w:rtl/>
        </w:rPr>
        <w:t>אמר רבי יצחק: המנהיג בשור פסולי המוקדשים - לוקה, שהרי גוף אחד הוא ועשאו הכתוב כשני גופים.</w:t>
      </w:r>
    </w:p>
    <w:p w:rsidR="00434F47" w:rsidRDefault="00434F47" w:rsidP="00B21EEF">
      <w:pPr>
        <w:pStyle w:val="Heading1"/>
        <w:bidi/>
        <w:jc w:val="both"/>
        <w:rPr>
          <w:rFonts w:hint="cs"/>
          <w:rtl/>
        </w:rPr>
      </w:pPr>
      <w:r>
        <w:rPr>
          <w:rFonts w:hint="cs"/>
          <w:rtl/>
        </w:rPr>
        <w:t>רש"י שם</w:t>
      </w:r>
    </w:p>
    <w:p w:rsidR="00434F47" w:rsidRDefault="00434F47" w:rsidP="00B21EEF">
      <w:pPr>
        <w:bidi/>
        <w:jc w:val="both"/>
        <w:rPr>
          <w:rFonts w:cs="Arial" w:hint="cs"/>
          <w:rtl/>
        </w:rPr>
      </w:pPr>
      <w:r w:rsidRPr="00434F47">
        <w:rPr>
          <w:rFonts w:cs="Arial"/>
          <w:rtl/>
        </w:rPr>
        <w:t>אמר רבי הושעיא: המרביע שור פסולי המוקדשים - לוקה שנים.</w:t>
      </w:r>
      <w:r>
        <w:rPr>
          <w:rFonts w:cs="Arial" w:hint="cs"/>
          <w:rtl/>
        </w:rPr>
        <w:t xml:space="preserve">  </w:t>
      </w:r>
      <w:r w:rsidRPr="00434F47">
        <w:rPr>
          <w:rFonts w:cs="Arial"/>
          <w:rtl/>
        </w:rPr>
        <w:t xml:space="preserve">המרביע שור פסולי המוקדשין - שנפדה אפילו על מינו לוקה שהרי גוף אחד ועשאו הכתוב שני גופין דתורת חולין ותורת קדשים יש עליו תורת חולין שמותר באכילה מחוץ לפתח אהל מועד כאילו לא הוקדש מעולם ותורת קדשים שאסור בגיזה ועבודה כדאמרינן בספרי בכל אות נפשך תזבח ואכלת בשר במה הכתוב מדבר אם בבשר תאוה הרי כבר אמור כי ירחיב ה' אלהיך את גבולך וגו' כי תאוה נפשך וגו' אם באכילת קדשים הרי כבר אמור כי אם במקום וגו' שם תעלה וגו' הא אין הכתוב מדבר אלא בפסולי המוקדשין שנפדו תזבח ולא גיזה דאסור בגיזה ועבודה בשר ולא חלב ואכלת ולא לכלביך והלכך אסור להרביעו אפי' עם מינו משום כלאים שמרביע חולין על קדשים או קדשים על חולין וכן </w:t>
      </w:r>
      <w:r w:rsidRPr="00434F47">
        <w:rPr>
          <w:rFonts w:cs="Arial"/>
          <w:rtl/>
        </w:rPr>
        <w:lastRenderedPageBreak/>
        <w:t>במנהיג אפילו מנהיג עם מינו ואפילו מנהיגו בפני עצמו חולין וקדשים הוא וחייב משום כלאים דחרישה דהוא עצמו כלאים שעשאן הכתוב שני גופין ולא שמעתי ראיה מנלן דחולין וקדשים כלאים זה בזה ודבר תימה הוא.</w:t>
      </w:r>
    </w:p>
    <w:p w:rsidR="00434F47" w:rsidRDefault="00434F47" w:rsidP="00B21EEF">
      <w:pPr>
        <w:pStyle w:val="Heading1"/>
        <w:bidi/>
        <w:jc w:val="both"/>
      </w:pPr>
      <w:r>
        <w:rPr>
          <w:rFonts w:hint="cs"/>
          <w:rtl/>
        </w:rPr>
        <w:t>רמב"ם ה' כלאים ט:</w:t>
      </w:r>
      <w:r>
        <w:rPr>
          <w:rtl/>
        </w:rPr>
        <w:t>יא</w:t>
      </w:r>
    </w:p>
    <w:p w:rsidR="00434F47" w:rsidRDefault="00434F47" w:rsidP="00B21EEF">
      <w:pPr>
        <w:bidi/>
        <w:jc w:val="both"/>
        <w:rPr>
          <w:rFonts w:cs="Arial" w:hint="cs"/>
          <w:sz w:val="18"/>
          <w:szCs w:val="18"/>
          <w:rtl/>
        </w:rPr>
      </w:pPr>
      <w:r>
        <w:rPr>
          <w:rFonts w:cs="Arial"/>
          <w:rtl/>
        </w:rPr>
        <w:t>(עח) בהמת פסולי המוקדשין אע"פ שהיא גוף אחד עשאה הכתוב כשני גופין, (עט) מפני שהיתה קדש ונעשית כקדש וכחול מעורבין זה בזה ונמצאת בהמה זו (פ) כבהמה טמאה עם הטהורה המעורבין כאחד הרי הוא אומר ואם כל בהמה טמאה אשר לא יקריבו ממנה (פא) קרבן לה', מפי השמועה למדו שאינו מדבר אלא בפסולי המוקדשין, לפיכך (פב) החורש בשור פסולי המוקדשין (פג) או המרביע הרי זה (פד) לוקה משום כלאים, ואיסור זה (פה) מדברי קבלה.</w:t>
      </w:r>
      <w:r w:rsidRPr="00B21EEF">
        <w:rPr>
          <w:rFonts w:cs="Arial"/>
          <w:sz w:val="20"/>
          <w:szCs w:val="20"/>
          <w:rtl/>
        </w:rPr>
        <w:t xml:space="preserve"> </w:t>
      </w:r>
      <w:r w:rsidRPr="00B21EEF">
        <w:rPr>
          <w:rFonts w:cs="Arial"/>
          <w:sz w:val="18"/>
          <w:szCs w:val="18"/>
          <w:rtl/>
        </w:rPr>
        <w:t>+/השגת הראב"ד/ בהמת פסולי המקודשין וכו'. א"א אנו אין בידינו אלא כחיה עם בהמה שהרי עשאה כצבי ואיל והכי איתא בבכורות.+</w:t>
      </w:r>
    </w:p>
    <w:p w:rsidR="00B21EEF" w:rsidRDefault="00B21EEF" w:rsidP="00B21EEF">
      <w:pPr>
        <w:pStyle w:val="Heading1"/>
        <w:bidi/>
        <w:jc w:val="both"/>
        <w:rPr>
          <w:rFonts w:hint="cs"/>
          <w:rtl/>
        </w:rPr>
      </w:pPr>
      <w:r>
        <w:rPr>
          <w:rFonts w:hint="cs"/>
          <w:rtl/>
        </w:rPr>
        <w:t>כסף משנה שם</w:t>
      </w:r>
    </w:p>
    <w:p w:rsidR="00B21EEF" w:rsidRDefault="00B21EEF" w:rsidP="00B21EEF">
      <w:pPr>
        <w:bidi/>
        <w:jc w:val="both"/>
      </w:pPr>
      <w:r>
        <w:rPr>
          <w:rFonts w:cs="Arial"/>
          <w:rtl/>
        </w:rPr>
        <w:t>בהמת פסולי המוקדשין וכו' לפיכך החורש בשור פסולי המוקדשים או המרביע הרי זה לוקה משום כלאים. מימרות בסוף מכות (דף כ"א:):</w:t>
      </w:r>
    </w:p>
    <w:p w:rsidR="00B21EEF" w:rsidRPr="00B21EEF" w:rsidRDefault="00B21EEF" w:rsidP="00B21EEF">
      <w:pPr>
        <w:bidi/>
        <w:jc w:val="both"/>
      </w:pPr>
      <w:r>
        <w:rPr>
          <w:rFonts w:cs="Arial"/>
          <w:rtl/>
        </w:rPr>
        <w:t>וכתב הראב"ד אנו אין בידינו וכו'. ודברי רבינו כפירוש רש"י ודברי הראב"ד כפי' ר"ת:</w:t>
      </w:r>
    </w:p>
    <w:sectPr w:rsidR="00B21EEF" w:rsidRPr="00B21EEF" w:rsidSect="00B21EEF">
      <w:type w:val="continuous"/>
      <w:pgSz w:w="12240" w:h="15840"/>
      <w:pgMar w:top="1440" w:right="1440" w:bottom="1440" w:left="1440" w:header="720" w:footer="720" w:gutter="0"/>
      <w:cols w:num="2" w:sep="1" w:space="720"/>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2FEB"/>
    <w:rsid w:val="00073B09"/>
    <w:rsid w:val="00245685"/>
    <w:rsid w:val="00434F47"/>
    <w:rsid w:val="00832FEB"/>
    <w:rsid w:val="008D5F5C"/>
    <w:rsid w:val="00904208"/>
    <w:rsid w:val="00A52AC7"/>
    <w:rsid w:val="00B21EEF"/>
    <w:rsid w:val="00B65FBE"/>
    <w:rsid w:val="00B663E9"/>
    <w:rsid w:val="00E407AA"/>
    <w:rsid w:val="00F2334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21E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EB"/>
    <w:pPr>
      <w:ind w:left="720"/>
      <w:contextualSpacing/>
    </w:pPr>
  </w:style>
  <w:style w:type="character" w:customStyle="1" w:styleId="Heading1Char">
    <w:name w:val="Heading 1 Char"/>
    <w:basedOn w:val="DefaultParagraphFont"/>
    <w:link w:val="Heading1"/>
    <w:uiPriority w:val="9"/>
    <w:rsid w:val="00B21EEF"/>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21E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1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26358896">
      <w:bodyDiv w:val="1"/>
      <w:marLeft w:val="0"/>
      <w:marRight w:val="0"/>
      <w:marTop w:val="0"/>
      <w:marBottom w:val="0"/>
      <w:divBdr>
        <w:top w:val="none" w:sz="0" w:space="0" w:color="auto"/>
        <w:left w:val="none" w:sz="0" w:space="0" w:color="auto"/>
        <w:bottom w:val="none" w:sz="0" w:space="0" w:color="auto"/>
        <w:right w:val="none" w:sz="0" w:space="0" w:color="auto"/>
      </w:divBdr>
      <w:divsChild>
        <w:div w:id="874926224">
          <w:marLeft w:val="0"/>
          <w:marRight w:val="-50"/>
          <w:marTop w:val="0"/>
          <w:marBottom w:val="0"/>
          <w:divBdr>
            <w:top w:val="none" w:sz="0" w:space="0" w:color="auto"/>
            <w:left w:val="none" w:sz="0" w:space="0" w:color="auto"/>
            <w:bottom w:val="none" w:sz="0" w:space="0" w:color="auto"/>
            <w:right w:val="none" w:sz="0" w:space="0" w:color="auto"/>
          </w:divBdr>
        </w:div>
      </w:divsChild>
    </w:div>
    <w:div w:id="1412969244">
      <w:bodyDiv w:val="1"/>
      <w:marLeft w:val="0"/>
      <w:marRight w:val="0"/>
      <w:marTop w:val="0"/>
      <w:marBottom w:val="0"/>
      <w:divBdr>
        <w:top w:val="none" w:sz="0" w:space="0" w:color="auto"/>
        <w:left w:val="none" w:sz="0" w:space="0" w:color="auto"/>
        <w:bottom w:val="none" w:sz="0" w:space="0" w:color="auto"/>
        <w:right w:val="none" w:sz="0" w:space="0" w:color="auto"/>
      </w:divBdr>
      <w:divsChild>
        <w:div w:id="255871616">
          <w:marLeft w:val="0"/>
          <w:marRight w:val="-50"/>
          <w:marTop w:val="0"/>
          <w:marBottom w:val="0"/>
          <w:divBdr>
            <w:top w:val="none" w:sz="0" w:space="0" w:color="auto"/>
            <w:left w:val="none" w:sz="0" w:space="0" w:color="auto"/>
            <w:bottom w:val="none" w:sz="0" w:space="0" w:color="auto"/>
            <w:right w:val="none" w:sz="0" w:space="0" w:color="auto"/>
          </w:divBdr>
        </w:div>
        <w:div w:id="602104368">
          <w:marLeft w:val="0"/>
          <w:marRight w:val="-50"/>
          <w:marTop w:val="0"/>
          <w:marBottom w:val="0"/>
          <w:divBdr>
            <w:top w:val="none" w:sz="0" w:space="0" w:color="auto"/>
            <w:left w:val="none" w:sz="0" w:space="0" w:color="auto"/>
            <w:bottom w:val="none" w:sz="0" w:space="0" w:color="auto"/>
            <w:right w:val="none" w:sz="0" w:space="0" w:color="auto"/>
          </w:divBdr>
        </w:div>
        <w:div w:id="1793816203">
          <w:marLeft w:val="0"/>
          <w:marRight w:val="-50"/>
          <w:marTop w:val="0"/>
          <w:marBottom w:val="0"/>
          <w:divBdr>
            <w:top w:val="none" w:sz="0" w:space="0" w:color="auto"/>
            <w:left w:val="none" w:sz="0" w:space="0" w:color="auto"/>
            <w:bottom w:val="none" w:sz="0" w:space="0" w:color="auto"/>
            <w:right w:val="none" w:sz="0" w:space="0" w:color="auto"/>
          </w:divBdr>
        </w:div>
      </w:divsChild>
    </w:div>
    <w:div w:id="1446386282">
      <w:bodyDiv w:val="1"/>
      <w:marLeft w:val="0"/>
      <w:marRight w:val="0"/>
      <w:marTop w:val="0"/>
      <w:marBottom w:val="0"/>
      <w:divBdr>
        <w:top w:val="none" w:sz="0" w:space="0" w:color="auto"/>
        <w:left w:val="none" w:sz="0" w:space="0" w:color="auto"/>
        <w:bottom w:val="none" w:sz="0" w:space="0" w:color="auto"/>
        <w:right w:val="none" w:sz="0" w:space="0" w:color="auto"/>
      </w:divBdr>
      <w:divsChild>
        <w:div w:id="1882355692">
          <w:marLeft w:val="0"/>
          <w:marRight w:val="-45"/>
          <w:marTop w:val="0"/>
          <w:marBottom w:val="0"/>
          <w:divBdr>
            <w:top w:val="none" w:sz="0" w:space="0" w:color="auto"/>
            <w:left w:val="none" w:sz="0" w:space="0" w:color="auto"/>
            <w:bottom w:val="none" w:sz="0" w:space="0" w:color="auto"/>
            <w:right w:val="none" w:sz="0" w:space="0" w:color="auto"/>
          </w:divBdr>
        </w:div>
      </w:divsChild>
    </w:div>
    <w:div w:id="1912884366">
      <w:bodyDiv w:val="1"/>
      <w:marLeft w:val="0"/>
      <w:marRight w:val="0"/>
      <w:marTop w:val="0"/>
      <w:marBottom w:val="0"/>
      <w:divBdr>
        <w:top w:val="none" w:sz="0" w:space="0" w:color="auto"/>
        <w:left w:val="none" w:sz="0" w:space="0" w:color="auto"/>
        <w:bottom w:val="none" w:sz="0" w:space="0" w:color="auto"/>
        <w:right w:val="none" w:sz="0" w:space="0" w:color="auto"/>
      </w:divBdr>
      <w:divsChild>
        <w:div w:id="874543415">
          <w:marLeft w:val="0"/>
          <w:marRight w:val="-50"/>
          <w:marTop w:val="0"/>
          <w:marBottom w:val="0"/>
          <w:divBdr>
            <w:top w:val="none" w:sz="0" w:space="0" w:color="auto"/>
            <w:left w:val="none" w:sz="0" w:space="0" w:color="auto"/>
            <w:bottom w:val="none" w:sz="0" w:space="0" w:color="auto"/>
            <w:right w:val="none" w:sz="0" w:space="0" w:color="auto"/>
          </w:divBdr>
        </w:div>
      </w:divsChild>
    </w:div>
    <w:div w:id="1937520664">
      <w:bodyDiv w:val="1"/>
      <w:marLeft w:val="0"/>
      <w:marRight w:val="0"/>
      <w:marTop w:val="0"/>
      <w:marBottom w:val="0"/>
      <w:divBdr>
        <w:top w:val="none" w:sz="0" w:space="0" w:color="auto"/>
        <w:left w:val="none" w:sz="0" w:space="0" w:color="auto"/>
        <w:bottom w:val="none" w:sz="0" w:space="0" w:color="auto"/>
        <w:right w:val="none" w:sz="0" w:space="0" w:color="auto"/>
      </w:divBdr>
      <w:divsChild>
        <w:div w:id="1450661210">
          <w:marLeft w:val="0"/>
          <w:marRight w:val="-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2</cp:revision>
  <cp:lastPrinted>2019-06-25T18:41:00Z</cp:lastPrinted>
  <dcterms:created xsi:type="dcterms:W3CDTF">2019-06-25T18:41:00Z</dcterms:created>
  <dcterms:modified xsi:type="dcterms:W3CDTF">2019-06-25T18:41:00Z</dcterms:modified>
</cp:coreProperties>
</file>