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736E" w14:textId="77777777" w:rsidR="00CB0A67" w:rsidRPr="00EF7E2B" w:rsidRDefault="00CB0A67" w:rsidP="00CB0A67">
      <w:pPr>
        <w:jc w:val="right"/>
        <w:rPr>
          <w:kern w:val="0"/>
          <w:rtl/>
        </w:rPr>
      </w:pPr>
      <w:r w:rsidRPr="00EF7E2B">
        <w:rPr>
          <w:rFonts w:hint="cs"/>
          <w:kern w:val="0"/>
          <w:rtl/>
        </w:rPr>
        <w:t>הרב שמואל דוב ווייס</w:t>
      </w:r>
    </w:p>
    <w:p w14:paraId="174B1F93" w14:textId="1982A648" w:rsidR="00CB0A67" w:rsidRDefault="00CB0A67" w:rsidP="00CB0A67">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7</w:t>
      </w:r>
      <w:r w:rsidRPr="007F6432">
        <w:rPr>
          <w:rFonts w:ascii="Calibri" w:eastAsia="Calibri" w:hAnsi="Calibri" w:cs="Arial" w:hint="cs"/>
          <w:rtl/>
        </w:rPr>
        <w:t>)</w:t>
      </w:r>
    </w:p>
    <w:p w14:paraId="3807115C" w14:textId="0F950F91" w:rsidR="00CB0A67" w:rsidRDefault="00CB0A67" w:rsidP="00CB0A67">
      <w:pPr>
        <w:jc w:val="right"/>
        <w:rPr>
          <w:u w:val="single"/>
          <w:rtl/>
        </w:rPr>
      </w:pPr>
      <w:r>
        <w:rPr>
          <w:rFonts w:hint="cs"/>
          <w:u w:val="single"/>
          <w:rtl/>
        </w:rPr>
        <w:t>הפסק</w:t>
      </w:r>
      <w:r w:rsidR="001A588E">
        <w:rPr>
          <w:rFonts w:hint="cs"/>
          <w:u w:val="single"/>
          <w:rtl/>
        </w:rPr>
        <w:t xml:space="preserve"> וגאולה אריכתא</w:t>
      </w:r>
    </w:p>
    <w:p w14:paraId="0231D0CA" w14:textId="77777777" w:rsidR="00CB0A67" w:rsidRDefault="00CB0A67" w:rsidP="00CB0A67">
      <w:pPr>
        <w:jc w:val="right"/>
        <w:rPr>
          <w:rtl/>
        </w:rPr>
      </w:pPr>
      <w:r w:rsidRPr="005951F5">
        <w:rPr>
          <w:rFonts w:hint="cs"/>
          <w:b/>
          <w:bCs/>
          <w:rtl/>
        </w:rPr>
        <w:t>גמ'</w:t>
      </w:r>
      <w:r>
        <w:rPr>
          <w:rFonts w:hint="cs"/>
          <w:rtl/>
        </w:rPr>
        <w:t xml:space="preserve"> לא. ["יכול ישאל אדם צרכיו... של יוה"כ אומר"], </w:t>
      </w:r>
      <w:r w:rsidRPr="005951F5">
        <w:rPr>
          <w:rFonts w:hint="cs"/>
          <w:b/>
          <w:bCs/>
          <w:rtl/>
        </w:rPr>
        <w:t>רש"י</w:t>
      </w:r>
      <w:r>
        <w:rPr>
          <w:rFonts w:hint="cs"/>
          <w:rtl/>
        </w:rPr>
        <w:t xml:space="preserve"> שם</w:t>
      </w:r>
    </w:p>
    <w:p w14:paraId="6569939E" w14:textId="72DF1E8A" w:rsidR="001A588E" w:rsidRDefault="001A588E" w:rsidP="001A588E">
      <w:pPr>
        <w:jc w:val="right"/>
        <w:rPr>
          <w:rtl/>
        </w:rPr>
      </w:pPr>
      <w:r w:rsidRPr="001A588E">
        <w:rPr>
          <w:b/>
          <w:bCs/>
          <w:rtl/>
        </w:rPr>
        <w:t>רא"ש</w:t>
      </w:r>
      <w:r w:rsidRPr="001A588E">
        <w:rPr>
          <w:rFonts w:hint="cs"/>
          <w:rtl/>
        </w:rPr>
        <w:t xml:space="preserve"> (פרק ה</w:t>
      </w:r>
      <w:r>
        <w:rPr>
          <w:rFonts w:hint="cs"/>
          <w:rtl/>
        </w:rPr>
        <w:t>'</w:t>
      </w:r>
      <w:r w:rsidRPr="001A588E">
        <w:rPr>
          <w:rFonts w:hint="cs"/>
          <w:rtl/>
        </w:rPr>
        <w:t xml:space="preserve"> סי' ד') ["יכול ישאל אדם... יום הכפורים אומר"]</w:t>
      </w:r>
      <w:r w:rsidR="0013421D">
        <w:rPr>
          <w:rFonts w:hint="cs"/>
          <w:rtl/>
        </w:rPr>
        <w:t>,</w:t>
      </w:r>
      <w:r>
        <w:rPr>
          <w:rFonts w:hint="cs"/>
          <w:rtl/>
        </w:rPr>
        <w:t xml:space="preserve"> </w:t>
      </w:r>
      <w:r w:rsidRPr="001A588E">
        <w:rPr>
          <w:rFonts w:hint="cs"/>
          <w:b/>
          <w:bCs/>
          <w:rtl/>
        </w:rPr>
        <w:t>מעדני יום טוב</w:t>
      </w:r>
      <w:r>
        <w:rPr>
          <w:rFonts w:hint="cs"/>
          <w:rtl/>
        </w:rPr>
        <w:t xml:space="preserve"> שם (אותיות ט',י')</w:t>
      </w:r>
    </w:p>
    <w:p w14:paraId="018AA3E3" w14:textId="56FB5248" w:rsidR="005B7DD6" w:rsidRDefault="005B7DD6" w:rsidP="005B7DD6">
      <w:pPr>
        <w:jc w:val="right"/>
        <w:rPr>
          <w:rFonts w:hint="cs"/>
          <w:rtl/>
        </w:rPr>
      </w:pPr>
      <w:r w:rsidRPr="005B7DD6">
        <w:rPr>
          <w:b/>
          <w:bCs/>
          <w:rtl/>
        </w:rPr>
        <w:t>משנה</w:t>
      </w:r>
      <w:r w:rsidRPr="005B7DD6">
        <w:rPr>
          <w:rtl/>
        </w:rPr>
        <w:t xml:space="preserve"> יג. ["בפר</w:t>
      </w:r>
      <w:r w:rsidRPr="005B7DD6">
        <w:rPr>
          <w:rFonts w:hint="cs"/>
          <w:rtl/>
        </w:rPr>
        <w:t xml:space="preserve">קים... לאמת ויציב"], </w:t>
      </w:r>
      <w:r w:rsidRPr="005B7DD6">
        <w:rPr>
          <w:rFonts w:hint="cs"/>
          <w:b/>
          <w:bCs/>
          <w:rtl/>
        </w:rPr>
        <w:t>רש"י</w:t>
      </w:r>
      <w:r w:rsidRPr="005B7DD6">
        <w:rPr>
          <w:rFonts w:hint="cs"/>
          <w:rtl/>
        </w:rPr>
        <w:t xml:space="preserve"> שם</w:t>
      </w:r>
    </w:p>
    <w:p w14:paraId="1DBE8BFE" w14:textId="77777777" w:rsidR="001A588E" w:rsidRDefault="001A588E" w:rsidP="001A588E">
      <w:pPr>
        <w:jc w:val="right"/>
        <w:rPr>
          <w:rtl/>
        </w:rPr>
      </w:pPr>
      <w:r w:rsidRPr="001A588E">
        <w:rPr>
          <w:b/>
          <w:bCs/>
          <w:rtl/>
        </w:rPr>
        <w:t>גמ'</w:t>
      </w:r>
      <w:r w:rsidRPr="001A588E">
        <w:rPr>
          <w:rtl/>
        </w:rPr>
        <w:t xml:space="preserve"> </w:t>
      </w:r>
      <w:r w:rsidRPr="001A588E">
        <w:rPr>
          <w:rFonts w:hint="cs"/>
          <w:rtl/>
        </w:rPr>
        <w:t xml:space="preserve">יג: ["ובפרקים שואל..."] - יד. [עד (ולא עד בכלל) "...בעא מיניה"], </w:t>
      </w:r>
      <w:r w:rsidRPr="001A588E">
        <w:rPr>
          <w:rFonts w:hint="cs"/>
          <w:b/>
          <w:bCs/>
          <w:rtl/>
        </w:rPr>
        <w:t>רש"י</w:t>
      </w:r>
      <w:r w:rsidRPr="001A588E">
        <w:rPr>
          <w:rFonts w:hint="cs"/>
          <w:rtl/>
        </w:rPr>
        <w:t xml:space="preserve"> שם</w:t>
      </w:r>
    </w:p>
    <w:p w14:paraId="623900E2" w14:textId="463E4196" w:rsidR="001A588E" w:rsidRDefault="001A588E" w:rsidP="001A588E">
      <w:pPr>
        <w:jc w:val="right"/>
        <w:rPr>
          <w:rtl/>
        </w:rPr>
      </w:pPr>
      <w:r w:rsidRPr="001A588E">
        <w:rPr>
          <w:b/>
          <w:bCs/>
          <w:rtl/>
        </w:rPr>
        <w:t>תוס</w:t>
      </w:r>
      <w:r w:rsidRPr="001A588E">
        <w:rPr>
          <w:rFonts w:hint="cs"/>
          <w:b/>
          <w:bCs/>
          <w:rtl/>
        </w:rPr>
        <w:t>'</w:t>
      </w:r>
      <w:r w:rsidRPr="001A588E">
        <w:rPr>
          <w:rFonts w:hint="cs"/>
          <w:rtl/>
        </w:rPr>
        <w:t xml:space="preserve"> יג: (ד"ה שואל)</w:t>
      </w:r>
      <w:r>
        <w:rPr>
          <w:rFonts w:hint="cs"/>
          <w:rtl/>
        </w:rPr>
        <w:t xml:space="preserve"> [עד "...בתפילה עצמה"], </w:t>
      </w:r>
      <w:r w:rsidRPr="001A588E">
        <w:rPr>
          <w:rFonts w:hint="cs"/>
          <w:b/>
          <w:bCs/>
          <w:rtl/>
        </w:rPr>
        <w:t>מסורת הש"ס</w:t>
      </w:r>
      <w:r>
        <w:rPr>
          <w:rFonts w:hint="cs"/>
          <w:rtl/>
        </w:rPr>
        <w:t xml:space="preserve"> שם</w:t>
      </w:r>
    </w:p>
    <w:p w14:paraId="52CC09F6" w14:textId="77777777" w:rsidR="001A588E" w:rsidRDefault="001A588E" w:rsidP="001A588E">
      <w:pPr>
        <w:jc w:val="right"/>
        <w:rPr>
          <w:rtl/>
        </w:rPr>
      </w:pPr>
      <w:r w:rsidRPr="001A588E">
        <w:rPr>
          <w:b/>
          <w:bCs/>
          <w:rtl/>
        </w:rPr>
        <w:t xml:space="preserve">שו"ת באר שבע </w:t>
      </w:r>
      <w:r w:rsidRPr="001A588E">
        <w:rPr>
          <w:rFonts w:hint="cs"/>
          <w:rtl/>
        </w:rPr>
        <w:t>(</w:t>
      </w:r>
      <w:r w:rsidRPr="001A588E">
        <w:rPr>
          <w:rtl/>
        </w:rPr>
        <w:t>סימן ט</w:t>
      </w:r>
      <w:r w:rsidRPr="001A588E">
        <w:rPr>
          <w:rFonts w:hint="cs"/>
          <w:rtl/>
        </w:rPr>
        <w:t>')</w:t>
      </w:r>
      <w:r>
        <w:rPr>
          <w:rFonts w:hint="cs"/>
          <w:rtl/>
        </w:rPr>
        <w:t>*</w:t>
      </w:r>
    </w:p>
    <w:p w14:paraId="270E2120" w14:textId="77777777" w:rsidR="001A588E" w:rsidRDefault="001A588E" w:rsidP="001A588E">
      <w:pPr>
        <w:jc w:val="right"/>
        <w:rPr>
          <w:rtl/>
        </w:rPr>
      </w:pPr>
      <w:r w:rsidRPr="001A588E">
        <w:rPr>
          <w:b/>
          <w:bCs/>
          <w:rtl/>
        </w:rPr>
        <w:t>גמ</w:t>
      </w:r>
      <w:r w:rsidRPr="001A588E">
        <w:rPr>
          <w:rFonts w:hint="cs"/>
          <w:b/>
          <w:bCs/>
          <w:rtl/>
        </w:rPr>
        <w:t>'</w:t>
      </w:r>
      <w:r>
        <w:rPr>
          <w:rFonts w:hint="cs"/>
          <w:rtl/>
        </w:rPr>
        <w:t xml:space="preserve"> ט: ["היכי מצי סמיך..." עד (ולא עד בכלל) "מכדי"], </w:t>
      </w:r>
      <w:r w:rsidRPr="001A588E">
        <w:rPr>
          <w:rFonts w:hint="cs"/>
          <w:b/>
          <w:bCs/>
          <w:rtl/>
        </w:rPr>
        <w:t>רש"י</w:t>
      </w:r>
      <w:r>
        <w:rPr>
          <w:rFonts w:hint="cs"/>
          <w:rtl/>
        </w:rPr>
        <w:t xml:space="preserve"> שם</w:t>
      </w:r>
    </w:p>
    <w:p w14:paraId="0BF8E75C" w14:textId="045E9A65" w:rsidR="001A588E" w:rsidRDefault="001A588E" w:rsidP="001A588E">
      <w:pPr>
        <w:jc w:val="right"/>
        <w:rPr>
          <w:rtl/>
        </w:rPr>
      </w:pPr>
      <w:r w:rsidRPr="008100D2">
        <w:rPr>
          <w:b/>
          <w:bCs/>
          <w:rtl/>
        </w:rPr>
        <w:t>גמ'</w:t>
      </w:r>
      <w:r>
        <w:rPr>
          <w:rtl/>
        </w:rPr>
        <w:t xml:space="preserve"> ד: ["</w:t>
      </w:r>
      <w:r w:rsidRPr="001A588E">
        <w:rPr>
          <w:rtl/>
        </w:rPr>
        <w:t>מתיב מר בריה דרבינא</w:t>
      </w:r>
      <w:r>
        <w:rPr>
          <w:rFonts w:hint="cs"/>
          <w:rtl/>
        </w:rPr>
        <w:t>..."</w:t>
      </w:r>
      <w:r w:rsidRPr="001A588E">
        <w:rPr>
          <w:rFonts w:hint="cs"/>
          <w:rtl/>
        </w:rPr>
        <w:t xml:space="preserve"> </w:t>
      </w:r>
      <w:r>
        <w:rPr>
          <w:rFonts w:hint="cs"/>
          <w:rtl/>
        </w:rPr>
        <w:t>עד (ולא עד בכלל)</w:t>
      </w:r>
      <w:r>
        <w:rPr>
          <w:rFonts w:hint="cs"/>
          <w:rtl/>
        </w:rPr>
        <w:t xml:space="preserve"> "אמר ר' אליעזר"], </w:t>
      </w:r>
      <w:r w:rsidRPr="001A588E">
        <w:rPr>
          <w:rFonts w:hint="cs"/>
          <w:b/>
          <w:bCs/>
          <w:rtl/>
        </w:rPr>
        <w:t>רש"י</w:t>
      </w:r>
      <w:r>
        <w:rPr>
          <w:rFonts w:hint="cs"/>
          <w:rtl/>
        </w:rPr>
        <w:t xml:space="preserve"> שם</w:t>
      </w:r>
    </w:p>
    <w:p w14:paraId="1D4C8D9B" w14:textId="143C88F7" w:rsidR="005B7DD6" w:rsidRDefault="005B7DD6" w:rsidP="001A588E">
      <w:pPr>
        <w:jc w:val="right"/>
        <w:rPr>
          <w:rtl/>
        </w:rPr>
      </w:pPr>
      <w:r w:rsidRPr="005B7DD6">
        <w:rPr>
          <w:b/>
          <w:bCs/>
          <w:rtl/>
        </w:rPr>
        <w:t>תוס'</w:t>
      </w:r>
      <w:r>
        <w:rPr>
          <w:rtl/>
        </w:rPr>
        <w:t xml:space="preserve"> שם (ד"ה</w:t>
      </w:r>
      <w:r>
        <w:rPr>
          <w:rFonts w:hint="cs"/>
          <w:rtl/>
        </w:rPr>
        <w:t xml:space="preserve"> דאמר רבי יוחנן)</w:t>
      </w:r>
    </w:p>
    <w:p w14:paraId="188A934B" w14:textId="77777777" w:rsidR="008100D2" w:rsidRDefault="008100D2" w:rsidP="008100D2">
      <w:pPr>
        <w:jc w:val="right"/>
        <w:rPr>
          <w:rtl/>
        </w:rPr>
      </w:pPr>
      <w:r w:rsidRPr="008100D2">
        <w:rPr>
          <w:b/>
          <w:bCs/>
          <w:rtl/>
        </w:rPr>
        <w:t>גמ'</w:t>
      </w:r>
      <w:r w:rsidRPr="008100D2">
        <w:rPr>
          <w:rtl/>
        </w:rPr>
        <w:t xml:space="preserve"> מב. ["דאמר רבי ח</w:t>
      </w:r>
      <w:r w:rsidRPr="008100D2">
        <w:rPr>
          <w:rFonts w:hint="cs"/>
          <w:rtl/>
        </w:rPr>
        <w:t xml:space="preserve">ייא בר אשי... ברכה"], </w:t>
      </w:r>
      <w:r w:rsidRPr="008100D2">
        <w:rPr>
          <w:rFonts w:hint="cs"/>
          <w:b/>
          <w:bCs/>
          <w:rtl/>
        </w:rPr>
        <w:t>רש"י</w:t>
      </w:r>
      <w:r w:rsidRPr="008100D2">
        <w:rPr>
          <w:rFonts w:hint="cs"/>
          <w:rtl/>
        </w:rPr>
        <w:t xml:space="preserve"> שם</w:t>
      </w:r>
    </w:p>
    <w:p w14:paraId="70F88AB9" w14:textId="1E75C93A" w:rsidR="005B7DD6" w:rsidRDefault="005B7DD6" w:rsidP="008100D2">
      <w:pPr>
        <w:jc w:val="right"/>
        <w:rPr>
          <w:rtl/>
        </w:rPr>
      </w:pPr>
      <w:r w:rsidRPr="005B7DD6">
        <w:rPr>
          <w:rFonts w:hint="cs"/>
          <w:b/>
          <w:bCs/>
          <w:rtl/>
        </w:rPr>
        <w:t>שו"ע</w:t>
      </w:r>
      <w:r>
        <w:rPr>
          <w:rFonts w:hint="cs"/>
          <w:rtl/>
        </w:rPr>
        <w:t xml:space="preserve"> או"ח (ס"ו:ז'-ט, קי"א:א'), </w:t>
      </w:r>
      <w:r w:rsidRPr="005B7DD6">
        <w:rPr>
          <w:rFonts w:hint="cs"/>
          <w:b/>
          <w:bCs/>
          <w:rtl/>
        </w:rPr>
        <w:t>ט"ז</w:t>
      </w:r>
      <w:r>
        <w:rPr>
          <w:rFonts w:hint="cs"/>
          <w:rtl/>
        </w:rPr>
        <w:t xml:space="preserve"> (קי"א:ב')</w:t>
      </w:r>
    </w:p>
    <w:p w14:paraId="1ED4547D" w14:textId="71381CC4" w:rsidR="00C62EC6" w:rsidRDefault="00C62EC6" w:rsidP="008100D2">
      <w:pPr>
        <w:jc w:val="right"/>
        <w:rPr>
          <w:rtl/>
        </w:rPr>
      </w:pPr>
      <w:r w:rsidRPr="00C62EC6">
        <w:rPr>
          <w:b/>
          <w:bCs/>
          <w:rtl/>
        </w:rPr>
        <w:t>רבינו יונה</w:t>
      </w:r>
      <w:r>
        <w:rPr>
          <w:rtl/>
        </w:rPr>
        <w:t xml:space="preserve"> ב: (בדפי ה</w:t>
      </w:r>
      <w:r>
        <w:rPr>
          <w:rFonts w:hint="cs"/>
          <w:rtl/>
        </w:rPr>
        <w:t>רי"ף) [ד"ה ואע"ג דצריך</w:t>
      </w:r>
      <w:r w:rsidR="00660F1B">
        <w:rPr>
          <w:rFonts w:hint="cs"/>
          <w:rtl/>
        </w:rPr>
        <w:t>, ויש לשאול</w:t>
      </w:r>
      <w:r>
        <w:rPr>
          <w:rFonts w:hint="cs"/>
          <w:rtl/>
        </w:rPr>
        <w:t>], ג. [ד"ה כיון דתקינו]</w:t>
      </w:r>
    </w:p>
    <w:p w14:paraId="7AB24EBD" w14:textId="02B9C362" w:rsidR="0013421D" w:rsidRDefault="0013421D" w:rsidP="008100D2">
      <w:pPr>
        <w:jc w:val="right"/>
        <w:rPr>
          <w:rFonts w:hint="cs"/>
          <w:rtl/>
        </w:rPr>
      </w:pPr>
      <w:r w:rsidRPr="0013421D">
        <w:rPr>
          <w:rFonts w:hint="cs"/>
          <w:b/>
          <w:bCs/>
          <w:rtl/>
        </w:rPr>
        <w:t>בעקבי הצאן</w:t>
      </w:r>
      <w:r>
        <w:rPr>
          <w:rFonts w:hint="cs"/>
          <w:rtl/>
        </w:rPr>
        <w:t xml:space="preserve"> (עמ' כ' (ד"ה </w:t>
      </w:r>
      <w:r w:rsidRPr="0013421D">
        <w:rPr>
          <w:rFonts w:hint="cs"/>
          <w:rtl/>
        </w:rPr>
        <w:t>אך עיי"ש</w:t>
      </w:r>
      <w:r>
        <w:rPr>
          <w:rFonts w:hint="cs"/>
          <w:rtl/>
        </w:rPr>
        <w:t>))</w:t>
      </w:r>
      <w:r>
        <w:rPr>
          <w:rStyle w:val="FootnoteReference"/>
          <w:rtl/>
        </w:rPr>
        <w:footnoteReference w:id="1"/>
      </w:r>
    </w:p>
    <w:p w14:paraId="7A2B1D27" w14:textId="77777777" w:rsidR="005B7DD6" w:rsidRDefault="005B7DD6" w:rsidP="008100D2">
      <w:pPr>
        <w:jc w:val="right"/>
        <w:rPr>
          <w:rtl/>
        </w:rPr>
      </w:pPr>
    </w:p>
    <w:p w14:paraId="3D7F3228" w14:textId="77777777" w:rsidR="001A588E" w:rsidRDefault="001A588E" w:rsidP="00C62EC6"/>
    <w:p w14:paraId="4A9883BC" w14:textId="5D19CEC7" w:rsidR="001A588E" w:rsidRPr="001A588E" w:rsidRDefault="001A588E" w:rsidP="001A588E">
      <w:pPr>
        <w:jc w:val="right"/>
        <w:rPr>
          <w:rtl/>
        </w:rPr>
      </w:pPr>
      <w:r w:rsidRPr="001A588E">
        <w:rPr>
          <w:b/>
          <w:bCs/>
          <w:rtl/>
        </w:rPr>
        <w:t>שו"ת באר שבע סימן ט</w:t>
      </w:r>
      <w:r w:rsidRPr="001A588E">
        <w:rPr>
          <w:rFonts w:hint="cs"/>
          <w:b/>
          <w:bCs/>
          <w:rtl/>
        </w:rPr>
        <w:t>'</w:t>
      </w:r>
      <w:r w:rsidRPr="001A588E">
        <w:t xml:space="preserve"> </w:t>
      </w:r>
    </w:p>
    <w:p w14:paraId="09404B65" w14:textId="5B5264C8" w:rsidR="001A588E" w:rsidRPr="001A588E" w:rsidRDefault="001A588E" w:rsidP="001A588E">
      <w:pPr>
        <w:jc w:val="right"/>
        <w:rPr>
          <w:rFonts w:hint="cs"/>
          <w:rtl/>
        </w:rPr>
      </w:pPr>
      <w:r w:rsidRPr="001A588E">
        <w:rPr>
          <w:rtl/>
        </w:rPr>
        <w:t>בברכות בפרק היה קורא דף י"ג שואל מפני היראה וכו' כתבו התוספות וז"ל אם כן נראה שמותר לענות קדיש וקדושה באמצע ק"ש דאין לך מפני הכבוד גדול מזה אבל באמצע י"ח אסור דמשמע לקמן בפרק אין עומדין דבין גאולה לתפלה אין לענות וכ"ש בתפלה עצמה עכ"ל התוס'. דברים הללו מגומגמים מאד ואין לסמוך עליהם משום דדייקינן ובדקינן בכולא פרקא דאין עומדין ולא אשכח לא רמז ולא רמיזא מזה ותו דמה היו צריכין להביא ראיה שאין לענות באמצע התפלה מכ"ש דבין גאולה לתפלה הא גמרא ערוכה היא בהדיא בפרק מי שמתו דאסור להפסיק בתפלה כדי לענות קדושה וקדיש. כך כתב בעל תרומת הדשן בשם אחד מהגדולים:</w:t>
      </w:r>
    </w:p>
    <w:p w14:paraId="77A8138B" w14:textId="552D87A6" w:rsidR="001A588E" w:rsidRPr="001A588E" w:rsidRDefault="001A588E" w:rsidP="001A588E">
      <w:pPr>
        <w:jc w:val="right"/>
        <w:rPr>
          <w:rtl/>
        </w:rPr>
      </w:pPr>
    </w:p>
    <w:p w14:paraId="0855950E" w14:textId="77777777" w:rsidR="001A588E" w:rsidRPr="001A588E" w:rsidRDefault="001A588E" w:rsidP="001A588E">
      <w:pPr>
        <w:jc w:val="right"/>
        <w:rPr>
          <w:rtl/>
        </w:rPr>
      </w:pPr>
    </w:p>
    <w:p w14:paraId="52432782" w14:textId="77777777" w:rsidR="001A588E" w:rsidRDefault="001A588E" w:rsidP="00CB0A67">
      <w:pPr>
        <w:jc w:val="right"/>
        <w:rPr>
          <w:rtl/>
        </w:rPr>
      </w:pPr>
    </w:p>
    <w:p w14:paraId="47627ECD"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73E4" w14:textId="77777777" w:rsidR="000D0B36" w:rsidRDefault="000D0B36" w:rsidP="0013421D">
      <w:pPr>
        <w:spacing w:after="0" w:line="240" w:lineRule="auto"/>
      </w:pPr>
      <w:r>
        <w:separator/>
      </w:r>
    </w:p>
  </w:endnote>
  <w:endnote w:type="continuationSeparator" w:id="0">
    <w:p w14:paraId="41136BEF" w14:textId="77777777" w:rsidR="000D0B36" w:rsidRDefault="000D0B36" w:rsidP="0013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AAE9" w14:textId="77777777" w:rsidR="000D0B36" w:rsidRDefault="000D0B36" w:rsidP="0013421D">
      <w:pPr>
        <w:spacing w:after="0" w:line="240" w:lineRule="auto"/>
      </w:pPr>
      <w:r>
        <w:separator/>
      </w:r>
    </w:p>
  </w:footnote>
  <w:footnote w:type="continuationSeparator" w:id="0">
    <w:p w14:paraId="2D47041C" w14:textId="77777777" w:rsidR="000D0B36" w:rsidRDefault="000D0B36" w:rsidP="0013421D">
      <w:pPr>
        <w:spacing w:after="0" w:line="240" w:lineRule="auto"/>
      </w:pPr>
      <w:r>
        <w:continuationSeparator/>
      </w:r>
    </w:p>
  </w:footnote>
  <w:footnote w:id="1">
    <w:p w14:paraId="2B89471E" w14:textId="39DFEEA8" w:rsidR="0013421D" w:rsidRPr="0013421D" w:rsidRDefault="0013421D">
      <w:pPr>
        <w:pStyle w:val="FootnoteText"/>
        <w:rPr>
          <w:sz w:val="16"/>
          <w:szCs w:val="16"/>
        </w:rPr>
      </w:pPr>
      <w:r w:rsidRPr="0013421D">
        <w:rPr>
          <w:rStyle w:val="FootnoteReference"/>
          <w:sz w:val="16"/>
          <w:szCs w:val="16"/>
        </w:rPr>
        <w:footnoteRef/>
      </w:r>
      <w:r w:rsidRPr="0013421D">
        <w:rPr>
          <w:sz w:val="16"/>
          <w:szCs w:val="16"/>
        </w:rPr>
        <w:t xml:space="preserve"> See separate photocopy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A67"/>
    <w:rsid w:val="000D0B36"/>
    <w:rsid w:val="0013421D"/>
    <w:rsid w:val="001A588E"/>
    <w:rsid w:val="00525C9E"/>
    <w:rsid w:val="005B7DD6"/>
    <w:rsid w:val="00660F1B"/>
    <w:rsid w:val="008100D2"/>
    <w:rsid w:val="00C62EC6"/>
    <w:rsid w:val="00CB0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0E4B"/>
  <w15:chartTrackingRefBased/>
  <w15:docId w15:val="{0B4924E7-6E44-46F9-91E2-5E87B5E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21D"/>
    <w:rPr>
      <w:sz w:val="20"/>
      <w:szCs w:val="20"/>
    </w:rPr>
  </w:style>
  <w:style w:type="character" w:styleId="FootnoteReference">
    <w:name w:val="footnote reference"/>
    <w:basedOn w:val="DefaultParagraphFont"/>
    <w:uiPriority w:val="99"/>
    <w:semiHidden/>
    <w:unhideWhenUsed/>
    <w:rsid w:val="00134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cp:lastPrinted>2023-07-23T19:32:00Z</cp:lastPrinted>
  <dcterms:created xsi:type="dcterms:W3CDTF">2023-07-23T18:25:00Z</dcterms:created>
  <dcterms:modified xsi:type="dcterms:W3CDTF">2023-07-24T16:11:00Z</dcterms:modified>
</cp:coreProperties>
</file>