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3A80" w14:textId="77777777" w:rsidR="00C75374" w:rsidRPr="00EF7E2B" w:rsidRDefault="00C75374" w:rsidP="00C75374">
      <w:pPr>
        <w:jc w:val="right"/>
        <w:rPr>
          <w:kern w:val="0"/>
          <w:rtl/>
        </w:rPr>
      </w:pPr>
      <w:r w:rsidRPr="00EF7E2B">
        <w:rPr>
          <w:rFonts w:hint="cs"/>
          <w:kern w:val="0"/>
          <w:rtl/>
        </w:rPr>
        <w:t>הרב שמואל דוב ווייס</w:t>
      </w:r>
    </w:p>
    <w:p w14:paraId="35DC1E76" w14:textId="328D1605" w:rsidR="00C75374" w:rsidRDefault="00C75374" w:rsidP="00C75374">
      <w:pPr>
        <w:jc w:val="center"/>
        <w:rPr>
          <w:rFonts w:ascii="Calibri" w:eastAsia="Calibri" w:hAnsi="Calibri" w:cs="Arial"/>
          <w:rtl/>
        </w:rPr>
      </w:pPr>
      <w:r w:rsidRPr="007F6432">
        <w:rPr>
          <w:rFonts w:ascii="Calibri" w:eastAsia="Calibri" w:hAnsi="Calibri" w:cs="Arial" w:hint="cs"/>
          <w:b/>
          <w:bCs/>
          <w:sz w:val="30"/>
          <w:szCs w:val="30"/>
          <w:u w:val="single"/>
          <w:rtl/>
        </w:rPr>
        <w:t>סומך גאולה לתפילה</w:t>
      </w:r>
      <w:r w:rsidRPr="007F6432">
        <w:rPr>
          <w:rFonts w:ascii="Calibri" w:eastAsia="Calibri" w:hAnsi="Calibri" w:cs="Arial" w:hint="cs"/>
          <w:rtl/>
        </w:rPr>
        <w:t xml:space="preserve"> (#</w:t>
      </w:r>
      <w:r>
        <w:rPr>
          <w:rFonts w:ascii="Calibri" w:eastAsia="Calibri" w:hAnsi="Calibri" w:cs="Arial" w:hint="cs"/>
          <w:rtl/>
        </w:rPr>
        <w:t>2</w:t>
      </w:r>
      <w:r w:rsidRPr="007F6432">
        <w:rPr>
          <w:rFonts w:ascii="Calibri" w:eastAsia="Calibri" w:hAnsi="Calibri" w:cs="Arial" w:hint="cs"/>
          <w:rtl/>
        </w:rPr>
        <w:t>)</w:t>
      </w:r>
    </w:p>
    <w:p w14:paraId="19B246A4" w14:textId="459E00C2" w:rsidR="00FC70E4" w:rsidRDefault="00FC70E4" w:rsidP="00FC70E4">
      <w:pPr>
        <w:jc w:val="right"/>
        <w:rPr>
          <w:rtl/>
        </w:rPr>
      </w:pPr>
      <w:r w:rsidRPr="00382AA5">
        <w:rPr>
          <w:b/>
          <w:bCs/>
          <w:rtl/>
        </w:rPr>
        <w:t>גמ'</w:t>
      </w:r>
      <w:r>
        <w:rPr>
          <w:rFonts w:hint="cs"/>
          <w:b/>
          <w:bCs/>
          <w:rtl/>
        </w:rPr>
        <w:t xml:space="preserve"> </w:t>
      </w:r>
      <w:r w:rsidRPr="00FC70E4">
        <w:rPr>
          <w:rFonts w:hint="cs"/>
          <w:rtl/>
        </w:rPr>
        <w:t>לב.</w:t>
      </w:r>
      <w:r>
        <w:rPr>
          <w:rFonts w:hint="cs"/>
          <w:rtl/>
        </w:rPr>
        <w:t xml:space="preserve"> ["דרש רבי שמלאי... הארץ הטובה"]</w:t>
      </w:r>
    </w:p>
    <w:p w14:paraId="033E3C06" w14:textId="7DE4445C" w:rsidR="00FC70E4" w:rsidRDefault="00FC70E4" w:rsidP="00FC70E4">
      <w:pPr>
        <w:jc w:val="right"/>
        <w:rPr>
          <w:rtl/>
        </w:rPr>
      </w:pPr>
      <w:r w:rsidRPr="00FC70E4">
        <w:rPr>
          <w:b/>
          <w:bCs/>
          <w:rtl/>
        </w:rPr>
        <w:t>גמ'</w:t>
      </w:r>
      <w:r>
        <w:rPr>
          <w:rtl/>
        </w:rPr>
        <w:t xml:space="preserve"> לד.</w:t>
      </w:r>
      <w:r>
        <w:rPr>
          <w:rFonts w:hint="cs"/>
          <w:rtl/>
        </w:rPr>
        <w:t xml:space="preserve"> ["אמר רב יהודה לעולם... ונפטר והולך לו"], </w:t>
      </w:r>
      <w:r w:rsidRPr="00FC70E4">
        <w:rPr>
          <w:rFonts w:hint="cs"/>
          <w:b/>
          <w:bCs/>
          <w:rtl/>
        </w:rPr>
        <w:t>רש"י</w:t>
      </w:r>
      <w:r>
        <w:rPr>
          <w:rFonts w:hint="cs"/>
          <w:rtl/>
        </w:rPr>
        <w:t xml:space="preserve"> שם</w:t>
      </w:r>
    </w:p>
    <w:p w14:paraId="1FBD0F37" w14:textId="7FD16C75" w:rsidR="0094611C" w:rsidRDefault="0094611C" w:rsidP="00FC70E4">
      <w:pPr>
        <w:jc w:val="right"/>
        <w:rPr>
          <w:rtl/>
        </w:rPr>
      </w:pPr>
      <w:r w:rsidRPr="0094611C">
        <w:rPr>
          <w:b/>
          <w:bCs/>
          <w:rtl/>
        </w:rPr>
        <w:t xml:space="preserve">רמב"ם </w:t>
      </w:r>
      <w:r>
        <w:rPr>
          <w:rtl/>
        </w:rPr>
        <w:t>הל' תפילה (א</w:t>
      </w:r>
      <w:r>
        <w:rPr>
          <w:rFonts w:hint="cs"/>
          <w:rtl/>
        </w:rPr>
        <w:t>:א-ב)</w:t>
      </w:r>
    </w:p>
    <w:p w14:paraId="06BF065A" w14:textId="645763F3" w:rsidR="0094611C" w:rsidRDefault="0094611C" w:rsidP="00FC70E4">
      <w:pPr>
        <w:jc w:val="right"/>
        <w:rPr>
          <w:rtl/>
        </w:rPr>
      </w:pPr>
      <w:r w:rsidRPr="0094611C">
        <w:rPr>
          <w:rFonts w:hint="cs"/>
          <w:b/>
          <w:bCs/>
          <w:rtl/>
        </w:rPr>
        <w:t>כסף משנה</w:t>
      </w:r>
      <w:r>
        <w:rPr>
          <w:rFonts w:hint="cs"/>
          <w:rtl/>
        </w:rPr>
        <w:t xml:space="preserve"> שם (א:ב), </w:t>
      </w:r>
      <w:r w:rsidRPr="0094611C">
        <w:rPr>
          <w:rFonts w:hint="cs"/>
          <w:b/>
          <w:bCs/>
          <w:rtl/>
        </w:rPr>
        <w:t>לחם משנה</w:t>
      </w:r>
      <w:r>
        <w:rPr>
          <w:rFonts w:hint="cs"/>
          <w:rtl/>
        </w:rPr>
        <w:t xml:space="preserve"> שם</w:t>
      </w:r>
    </w:p>
    <w:p w14:paraId="7B37C0B7" w14:textId="3A4FC1F5" w:rsidR="0094611C" w:rsidRDefault="00B44104" w:rsidP="00B44104">
      <w:pPr>
        <w:jc w:val="right"/>
        <w:rPr>
          <w:rtl/>
        </w:rPr>
      </w:pPr>
      <w:r w:rsidRPr="00B44104">
        <w:rPr>
          <w:b/>
          <w:bCs/>
          <w:rtl/>
        </w:rPr>
        <w:t xml:space="preserve">בית אלוקים למבי"ט </w:t>
      </w:r>
      <w:r w:rsidRPr="00B44104">
        <w:rPr>
          <w:rtl/>
        </w:rPr>
        <w:t xml:space="preserve">שער התפילה </w:t>
      </w:r>
      <w:r>
        <w:rPr>
          <w:rFonts w:hint="cs"/>
          <w:rtl/>
        </w:rPr>
        <w:t>(</w:t>
      </w:r>
      <w:r w:rsidRPr="00B44104">
        <w:rPr>
          <w:rtl/>
        </w:rPr>
        <w:t>פרק ב</w:t>
      </w:r>
      <w:r>
        <w:rPr>
          <w:rFonts w:hint="cs"/>
          <w:rtl/>
        </w:rPr>
        <w:t>')*</w:t>
      </w:r>
      <w:r w:rsidRPr="00B44104">
        <w:t xml:space="preserve"> </w:t>
      </w:r>
    </w:p>
    <w:p w14:paraId="0063E6C4" w14:textId="77777777" w:rsidR="00B44104" w:rsidRDefault="0094611C" w:rsidP="00FC70E4">
      <w:pPr>
        <w:jc w:val="right"/>
        <w:rPr>
          <w:rtl/>
        </w:rPr>
      </w:pPr>
      <w:r w:rsidRPr="00B44104">
        <w:rPr>
          <w:b/>
          <w:bCs/>
          <w:rtl/>
        </w:rPr>
        <w:t>גמ</w:t>
      </w:r>
      <w:r w:rsidRPr="00B44104">
        <w:rPr>
          <w:rFonts w:hint="cs"/>
          <w:b/>
          <w:bCs/>
          <w:rtl/>
        </w:rPr>
        <w:t>'</w:t>
      </w:r>
      <w:r>
        <w:rPr>
          <w:rFonts w:hint="cs"/>
          <w:rtl/>
        </w:rPr>
        <w:t xml:space="preserve"> לא. ["ת"ר אין עומדין להתפלל... ותנחומין"], </w:t>
      </w:r>
      <w:r w:rsidRPr="0094611C">
        <w:rPr>
          <w:rFonts w:hint="cs"/>
          <w:b/>
          <w:bCs/>
          <w:rtl/>
        </w:rPr>
        <w:t>רש"י</w:t>
      </w:r>
      <w:r>
        <w:rPr>
          <w:rFonts w:hint="cs"/>
          <w:rtl/>
        </w:rPr>
        <w:t xml:space="preserve"> שם</w:t>
      </w:r>
    </w:p>
    <w:p w14:paraId="213FF3A1" w14:textId="77C137F4" w:rsidR="0094611C" w:rsidRDefault="00B44104" w:rsidP="00FC70E4">
      <w:pPr>
        <w:jc w:val="right"/>
        <w:rPr>
          <w:rtl/>
        </w:rPr>
      </w:pPr>
      <w:r w:rsidRPr="00B44104">
        <w:rPr>
          <w:rFonts w:hint="cs"/>
          <w:b/>
          <w:bCs/>
          <w:rtl/>
        </w:rPr>
        <w:t>רבינו יונה</w:t>
      </w:r>
      <w:r>
        <w:rPr>
          <w:rFonts w:hint="cs"/>
          <w:rtl/>
        </w:rPr>
        <w:t xml:space="preserve"> א: ["ורבינו האי גאון... לחדש בה דבר אחר"]</w:t>
      </w:r>
      <w:r w:rsidR="00DE7169">
        <w:rPr>
          <w:rFonts w:hint="cs"/>
          <w:rtl/>
        </w:rPr>
        <w:t xml:space="preserve">, </w:t>
      </w:r>
      <w:r w:rsidR="00DE7169" w:rsidRPr="00DE7169">
        <w:rPr>
          <w:rFonts w:hint="cs"/>
          <w:b/>
          <w:bCs/>
          <w:rtl/>
        </w:rPr>
        <w:t>ומגלה עמוקות</w:t>
      </w:r>
      <w:r w:rsidR="00DE7169">
        <w:rPr>
          <w:rFonts w:hint="cs"/>
          <w:rtl/>
        </w:rPr>
        <w:t xml:space="preserve"> שם (ד"ה תר"י ד"ה ומי)</w:t>
      </w:r>
      <w:r w:rsidR="00DE7169">
        <w:rPr>
          <w:rStyle w:val="FootnoteReference"/>
          <w:rtl/>
        </w:rPr>
        <w:footnoteReference w:id="1"/>
      </w:r>
    </w:p>
    <w:p w14:paraId="1F100B3D" w14:textId="432DEC38" w:rsidR="009E50C3" w:rsidRDefault="009E50C3" w:rsidP="00FC70E4">
      <w:pPr>
        <w:jc w:val="right"/>
        <w:rPr>
          <w:rtl/>
        </w:rPr>
      </w:pPr>
      <w:r w:rsidRPr="009E50C3">
        <w:rPr>
          <w:b/>
          <w:bCs/>
          <w:rtl/>
        </w:rPr>
        <w:t>טור</w:t>
      </w:r>
      <w:r>
        <w:rPr>
          <w:rtl/>
        </w:rPr>
        <w:t xml:space="preserve"> או"ח ס' קי"א</w:t>
      </w:r>
    </w:p>
    <w:p w14:paraId="3AAEBE39" w14:textId="30AFA019" w:rsidR="009E50C3" w:rsidRDefault="009E50C3" w:rsidP="00FC70E4">
      <w:pPr>
        <w:jc w:val="right"/>
        <w:rPr>
          <w:rtl/>
        </w:rPr>
      </w:pPr>
      <w:r w:rsidRPr="009E50C3">
        <w:rPr>
          <w:b/>
          <w:bCs/>
          <w:rtl/>
        </w:rPr>
        <w:t xml:space="preserve">סידור </w:t>
      </w:r>
      <w:r w:rsidRPr="009E50C3">
        <w:rPr>
          <w:rFonts w:hint="cs"/>
          <w:b/>
          <w:bCs/>
          <w:rtl/>
        </w:rPr>
        <w:t>של רב שמשון רפאל הירש</w:t>
      </w:r>
      <w:r>
        <w:rPr>
          <w:rFonts w:hint="cs"/>
          <w:b/>
          <w:bCs/>
          <w:rtl/>
        </w:rPr>
        <w:t xml:space="preserve"> </w:t>
      </w:r>
      <w:r w:rsidRPr="009E50C3">
        <w:rPr>
          <w:rFonts w:hint="cs"/>
          <w:rtl/>
        </w:rPr>
        <w:t>(עמ' קכ"ה)</w:t>
      </w:r>
      <w:r>
        <w:rPr>
          <w:rFonts w:hint="cs"/>
          <w:rtl/>
        </w:rPr>
        <w:t>*</w:t>
      </w:r>
    </w:p>
    <w:p w14:paraId="0676B197" w14:textId="3644D024" w:rsidR="009E50C3" w:rsidRPr="009E50C3" w:rsidRDefault="009E50C3" w:rsidP="00FC70E4">
      <w:pPr>
        <w:jc w:val="right"/>
        <w:rPr>
          <w:u w:val="single"/>
          <w:rtl/>
        </w:rPr>
      </w:pPr>
      <w:r w:rsidRPr="009E50C3">
        <w:rPr>
          <w:rFonts w:hint="cs"/>
          <w:u w:val="single"/>
          <w:rtl/>
        </w:rPr>
        <w:t>תפילת ערבית</w:t>
      </w:r>
    </w:p>
    <w:p w14:paraId="5050513F" w14:textId="54AC0261" w:rsidR="009E50C3" w:rsidRDefault="009E50C3" w:rsidP="00FC70E4">
      <w:pPr>
        <w:jc w:val="right"/>
        <w:rPr>
          <w:rtl/>
        </w:rPr>
      </w:pPr>
      <w:r w:rsidRPr="00382AA5">
        <w:rPr>
          <w:b/>
          <w:bCs/>
          <w:rtl/>
        </w:rPr>
        <w:t>גמ'</w:t>
      </w:r>
      <w:r>
        <w:rPr>
          <w:rFonts w:hint="cs"/>
          <w:b/>
          <w:bCs/>
          <w:rtl/>
        </w:rPr>
        <w:t xml:space="preserve"> </w:t>
      </w:r>
      <w:r w:rsidRPr="006A3A2F">
        <w:rPr>
          <w:rFonts w:hint="cs"/>
          <w:rtl/>
        </w:rPr>
        <w:t>ד:</w:t>
      </w:r>
      <w:r>
        <w:rPr>
          <w:rFonts w:hint="cs"/>
          <w:rtl/>
        </w:rPr>
        <w:t xml:space="preserve"> ["אמר מר קורא ק"ש ומתפלל... למימר השכיבנו כגאולה אריכתא דמיא"], </w:t>
      </w:r>
      <w:r w:rsidRPr="004E38E6">
        <w:rPr>
          <w:rFonts w:hint="cs"/>
          <w:b/>
          <w:bCs/>
          <w:rtl/>
        </w:rPr>
        <w:t>רש"י</w:t>
      </w:r>
      <w:r>
        <w:rPr>
          <w:rFonts w:hint="cs"/>
          <w:b/>
          <w:bCs/>
          <w:rtl/>
        </w:rPr>
        <w:t xml:space="preserve"> </w:t>
      </w:r>
      <w:r w:rsidRPr="009E50C3">
        <w:rPr>
          <w:rFonts w:hint="cs"/>
          <w:rtl/>
        </w:rPr>
        <w:t>שם</w:t>
      </w:r>
    </w:p>
    <w:p w14:paraId="23DDD680" w14:textId="71715080" w:rsidR="009E50C3" w:rsidRDefault="009E50C3" w:rsidP="00FC70E4">
      <w:pPr>
        <w:jc w:val="right"/>
        <w:rPr>
          <w:rtl/>
        </w:rPr>
      </w:pPr>
      <w:r w:rsidRPr="009E50C3">
        <w:rPr>
          <w:b/>
          <w:bCs/>
          <w:rtl/>
        </w:rPr>
        <w:t>גמ'</w:t>
      </w:r>
      <w:r>
        <w:rPr>
          <w:rFonts w:hint="cs"/>
          <w:b/>
          <w:bCs/>
          <w:rtl/>
        </w:rPr>
        <w:t xml:space="preserve"> </w:t>
      </w:r>
      <w:r w:rsidRPr="009E50C3">
        <w:rPr>
          <w:rFonts w:hint="cs"/>
          <w:rtl/>
        </w:rPr>
        <w:t>ט.</w:t>
      </w:r>
      <w:r>
        <w:rPr>
          <w:rFonts w:hint="cs"/>
          <w:rtl/>
        </w:rPr>
        <w:t xml:space="preserve"> ["דתניא ואכלו את הבשר...ולא ביום",</w:t>
      </w:r>
      <w:r w:rsidR="008D3A8B">
        <w:rPr>
          <w:rFonts w:hint="cs"/>
          <w:rtl/>
        </w:rPr>
        <w:t xml:space="preserve"> "והני תנאי כהני תנאי... שהתחילה להם גאולה מבערב"], </w:t>
      </w:r>
      <w:r w:rsidR="008D3A8B" w:rsidRPr="008D3A8B">
        <w:rPr>
          <w:rFonts w:hint="cs"/>
          <w:b/>
          <w:bCs/>
          <w:rtl/>
        </w:rPr>
        <w:t>רש"י</w:t>
      </w:r>
      <w:r w:rsidR="008D3A8B">
        <w:rPr>
          <w:rFonts w:hint="cs"/>
          <w:rtl/>
        </w:rPr>
        <w:t xml:space="preserve"> שם</w:t>
      </w:r>
    </w:p>
    <w:p w14:paraId="74B7F1A0" w14:textId="311AE003" w:rsidR="00885AF0" w:rsidRDefault="00885AF0" w:rsidP="00885AF0">
      <w:pPr>
        <w:jc w:val="right"/>
        <w:rPr>
          <w:rtl/>
        </w:rPr>
      </w:pPr>
      <w:r w:rsidRPr="008D3A8B">
        <w:rPr>
          <w:b/>
          <w:bCs/>
          <w:rtl/>
        </w:rPr>
        <w:t>פני יהושע</w:t>
      </w:r>
      <w:r>
        <w:rPr>
          <w:rtl/>
        </w:rPr>
        <w:t xml:space="preserve"> </w:t>
      </w:r>
      <w:r>
        <w:rPr>
          <w:rFonts w:hint="cs"/>
          <w:rtl/>
        </w:rPr>
        <w:t>ד:</w:t>
      </w:r>
      <w:r>
        <w:rPr>
          <w:rtl/>
        </w:rPr>
        <w:t xml:space="preserve"> (ד"</w:t>
      </w:r>
      <w:r>
        <w:rPr>
          <w:rFonts w:hint="cs"/>
          <w:rtl/>
        </w:rPr>
        <w:t xml:space="preserve">ה </w:t>
      </w:r>
      <w:r w:rsidRPr="008D3A8B">
        <w:rPr>
          <w:rtl/>
        </w:rPr>
        <w:t>אבע"א קרא</w:t>
      </w:r>
      <w:r>
        <w:rPr>
          <w:rFonts w:hint="cs"/>
          <w:rtl/>
        </w:rPr>
        <w:t>)</w:t>
      </w:r>
    </w:p>
    <w:p w14:paraId="79DF3D28" w14:textId="567FF25A" w:rsidR="008D3A8B" w:rsidRDefault="008D3A8B" w:rsidP="008D3A8B">
      <w:pPr>
        <w:jc w:val="right"/>
        <w:rPr>
          <w:rtl/>
        </w:rPr>
      </w:pPr>
      <w:r w:rsidRPr="009E50C3">
        <w:rPr>
          <w:b/>
          <w:bCs/>
          <w:rtl/>
        </w:rPr>
        <w:t>תוס'</w:t>
      </w:r>
      <w:r>
        <w:rPr>
          <w:rtl/>
        </w:rPr>
        <w:t xml:space="preserve"> </w:t>
      </w:r>
      <w:r>
        <w:rPr>
          <w:rFonts w:hint="cs"/>
          <w:rtl/>
        </w:rPr>
        <w:t>ד:</w:t>
      </w:r>
      <w:r>
        <w:rPr>
          <w:rtl/>
        </w:rPr>
        <w:t xml:space="preserve"> (ד"ה </w:t>
      </w:r>
      <w:r>
        <w:rPr>
          <w:rFonts w:hint="cs"/>
          <w:rtl/>
        </w:rPr>
        <w:t>דאמר)</w:t>
      </w:r>
    </w:p>
    <w:p w14:paraId="5DDC6CF0" w14:textId="28F36F26" w:rsidR="007D519F" w:rsidRDefault="00885AF0" w:rsidP="007D519F">
      <w:pPr>
        <w:jc w:val="right"/>
        <w:rPr>
          <w:rtl/>
        </w:rPr>
      </w:pPr>
      <w:r w:rsidRPr="00885AF0">
        <w:rPr>
          <w:rFonts w:hint="cs"/>
          <w:b/>
          <w:bCs/>
          <w:rtl/>
        </w:rPr>
        <w:t>משנה</w:t>
      </w:r>
      <w:r>
        <w:rPr>
          <w:rFonts w:hint="cs"/>
          <w:b/>
          <w:bCs/>
          <w:rtl/>
        </w:rPr>
        <w:t xml:space="preserve"> </w:t>
      </w:r>
      <w:r w:rsidRPr="00885AF0">
        <w:rPr>
          <w:rFonts w:hint="cs"/>
          <w:rtl/>
        </w:rPr>
        <w:t>כו.</w:t>
      </w:r>
      <w:r>
        <w:rPr>
          <w:rFonts w:hint="cs"/>
          <w:rtl/>
        </w:rPr>
        <w:t xml:space="preserve"> ["תפילת השחר... כל היום"], </w:t>
      </w:r>
      <w:r w:rsidRPr="00885AF0">
        <w:rPr>
          <w:rFonts w:hint="cs"/>
          <w:b/>
          <w:bCs/>
          <w:rtl/>
        </w:rPr>
        <w:t>רש"י</w:t>
      </w:r>
      <w:r>
        <w:rPr>
          <w:rFonts w:hint="cs"/>
          <w:rtl/>
        </w:rPr>
        <w:t xml:space="preserve"> שם</w:t>
      </w:r>
    </w:p>
    <w:p w14:paraId="5D85EC11" w14:textId="76797589" w:rsidR="007D519F" w:rsidRDefault="007D519F" w:rsidP="007D519F">
      <w:pPr>
        <w:jc w:val="right"/>
        <w:rPr>
          <w:rtl/>
        </w:rPr>
      </w:pPr>
      <w:r w:rsidRPr="007D519F">
        <w:rPr>
          <w:rFonts w:hint="cs"/>
          <w:b/>
          <w:bCs/>
          <w:rtl/>
        </w:rPr>
        <w:t>גמ'</w:t>
      </w:r>
      <w:r>
        <w:rPr>
          <w:rFonts w:hint="cs"/>
          <w:rtl/>
        </w:rPr>
        <w:t xml:space="preserve"> כז: ["תפילת הערב אין לה קבע... כדברי האומר רשות"]</w:t>
      </w:r>
      <w:r w:rsidR="005C2E4E">
        <w:rPr>
          <w:rStyle w:val="FootnoteReference"/>
          <w:rtl/>
        </w:rPr>
        <w:footnoteReference w:id="2"/>
      </w:r>
      <w:r>
        <w:rPr>
          <w:rFonts w:hint="cs"/>
          <w:rtl/>
        </w:rPr>
        <w:t xml:space="preserve">, </w:t>
      </w:r>
      <w:r w:rsidRPr="007D519F">
        <w:rPr>
          <w:rFonts w:hint="cs"/>
          <w:b/>
          <w:bCs/>
          <w:rtl/>
        </w:rPr>
        <w:t>רש"י</w:t>
      </w:r>
      <w:r>
        <w:rPr>
          <w:rFonts w:hint="cs"/>
          <w:rtl/>
        </w:rPr>
        <w:t xml:space="preserve"> שם</w:t>
      </w:r>
    </w:p>
    <w:p w14:paraId="7A0B6BAC" w14:textId="1574E561" w:rsidR="007D519F" w:rsidRDefault="007D519F" w:rsidP="007D519F">
      <w:pPr>
        <w:jc w:val="right"/>
        <w:rPr>
          <w:rtl/>
        </w:rPr>
      </w:pPr>
      <w:r w:rsidRPr="007D519F">
        <w:rPr>
          <w:b/>
          <w:bCs/>
          <w:rtl/>
        </w:rPr>
        <w:t>תוס'</w:t>
      </w:r>
      <w:r>
        <w:rPr>
          <w:rFonts w:hint="cs"/>
          <w:b/>
          <w:bCs/>
          <w:rtl/>
        </w:rPr>
        <w:t xml:space="preserve"> </w:t>
      </w:r>
      <w:r w:rsidRPr="007D519F">
        <w:rPr>
          <w:rFonts w:hint="cs"/>
          <w:rtl/>
        </w:rPr>
        <w:t>שם</w:t>
      </w:r>
      <w:r>
        <w:rPr>
          <w:rFonts w:hint="cs"/>
          <w:b/>
          <w:bCs/>
          <w:rtl/>
        </w:rPr>
        <w:t xml:space="preserve"> </w:t>
      </w:r>
      <w:r w:rsidRPr="007D519F">
        <w:rPr>
          <w:rFonts w:hint="cs"/>
          <w:rtl/>
        </w:rPr>
        <w:t>(ד"ה הלכה כדברי האומר)</w:t>
      </w:r>
    </w:p>
    <w:p w14:paraId="020CBD4B" w14:textId="1A3274CE" w:rsidR="007D519F" w:rsidRDefault="007D519F" w:rsidP="007D519F">
      <w:pPr>
        <w:jc w:val="right"/>
        <w:rPr>
          <w:rtl/>
        </w:rPr>
      </w:pPr>
      <w:r w:rsidRPr="007D519F">
        <w:rPr>
          <w:b/>
          <w:bCs/>
          <w:rtl/>
        </w:rPr>
        <w:t>גמ'</w:t>
      </w:r>
      <w:r>
        <w:rPr>
          <w:rFonts w:hint="cs"/>
          <w:b/>
          <w:bCs/>
          <w:rtl/>
        </w:rPr>
        <w:t xml:space="preserve"> </w:t>
      </w:r>
      <w:r w:rsidRPr="007D519F">
        <w:rPr>
          <w:rFonts w:hint="cs"/>
          <w:rtl/>
        </w:rPr>
        <w:t>כו.</w:t>
      </w:r>
      <w:r>
        <w:rPr>
          <w:rFonts w:hint="cs"/>
          <w:rtl/>
        </w:rPr>
        <w:t xml:space="preserve"> ["ורמינהו... בזמנה לא יהיב ליה"], </w:t>
      </w:r>
      <w:r w:rsidRPr="007D519F">
        <w:rPr>
          <w:rFonts w:hint="cs"/>
          <w:b/>
          <w:bCs/>
          <w:rtl/>
        </w:rPr>
        <w:t>רש"י</w:t>
      </w:r>
      <w:r>
        <w:rPr>
          <w:rFonts w:hint="cs"/>
          <w:rtl/>
        </w:rPr>
        <w:t xml:space="preserve"> שם</w:t>
      </w:r>
    </w:p>
    <w:p w14:paraId="4F94CFD4" w14:textId="56F900CD" w:rsidR="007D519F" w:rsidRPr="007D519F" w:rsidRDefault="007D519F" w:rsidP="007D519F">
      <w:pPr>
        <w:jc w:val="right"/>
        <w:rPr>
          <w:b/>
          <w:bCs/>
          <w:rtl/>
        </w:rPr>
      </w:pPr>
      <w:r w:rsidRPr="007D519F">
        <w:rPr>
          <w:b/>
          <w:bCs/>
          <w:rtl/>
        </w:rPr>
        <w:t>תוס'</w:t>
      </w:r>
      <w:r>
        <w:rPr>
          <w:rtl/>
        </w:rPr>
        <w:t xml:space="preserve"> שם (ד"ה טע</w:t>
      </w:r>
      <w:r>
        <w:rPr>
          <w:rFonts w:hint="cs"/>
          <w:rtl/>
        </w:rPr>
        <w:t>ה ולא התפלל)</w:t>
      </w:r>
    </w:p>
    <w:p w14:paraId="45B33988" w14:textId="77777777" w:rsidR="00885AF0" w:rsidRDefault="00885AF0" w:rsidP="008D3A8B">
      <w:pPr>
        <w:jc w:val="right"/>
        <w:rPr>
          <w:rtl/>
        </w:rPr>
      </w:pPr>
    </w:p>
    <w:p w14:paraId="6302D440" w14:textId="7D544F8C" w:rsidR="00B44104" w:rsidRPr="00B44104" w:rsidRDefault="00B44104" w:rsidP="00B44104">
      <w:pPr>
        <w:jc w:val="right"/>
        <w:rPr>
          <w:rtl/>
        </w:rPr>
      </w:pPr>
      <w:r w:rsidRPr="00B44104">
        <w:rPr>
          <w:b/>
          <w:bCs/>
          <w:rtl/>
        </w:rPr>
        <w:t>בית אלוקים למבי"ט שער התפילה פרק ב</w:t>
      </w:r>
    </w:p>
    <w:p w14:paraId="7A38F5FC" w14:textId="08BB5D47" w:rsidR="00885AF0" w:rsidRDefault="00B44104" w:rsidP="00B44104">
      <w:pPr>
        <w:jc w:val="right"/>
        <w:rPr>
          <w:rtl/>
        </w:rPr>
      </w:pPr>
      <w:r w:rsidRPr="00B44104">
        <w:rPr>
          <w:rtl/>
        </w:rPr>
        <w:t>ענין גדר זה, לא יכלול אלא שאלת האדם צרכיו שהוא דמיון ברכות אמצעיות של י"ח ברכות, אמנם צריך המתפלל להקדים לתפלתו שבח הבורא, וכמו שדרש רבי שמלאי (ברכות ל"ב) לעולם יסדר אדם שבחו של מקום ואח"כ יתפלל דכתיב (דברים ב') ה' אל</w:t>
      </w:r>
      <w:r w:rsidR="00CE7E03">
        <w:rPr>
          <w:rFonts w:hint="cs"/>
          <w:rtl/>
        </w:rPr>
        <w:t>ק</w:t>
      </w:r>
      <w:r w:rsidRPr="00B44104">
        <w:rPr>
          <w:rtl/>
        </w:rPr>
        <w:t xml:space="preserve">ים אתה החלות וגו' וכתיב בתריה אעברה נא ואראה וכו'. וענין הקדמת השבח נראה בתחלת המחשבה דבר בלתי הגון בשאלת צרכיו, כ"א אדם אחד ישבח את חבירו, ואח"כ ישאל ממנו אי זה דבר, נראה שסיפור שבחו היה לסבה שישלים שאלתו. אבל בהסתכלות ועומק המחשבה, יראה השבח דבר הכרחי לקבלת התפלה, והוא כי שבח ושלמות האנשים אינו דבר שלם בתכלית ולא קיים, לסבת מאורעות האדם וגלגולי העולם, ולכן אי אפשר שישבח האדם את חבירו וישאל ממנו כ"א בתוספת שבח ויתר שאת מה שאין בו </w:t>
      </w:r>
      <w:r w:rsidRPr="00B44104">
        <w:rPr>
          <w:rtl/>
        </w:rPr>
        <w:lastRenderedPageBreak/>
        <w:t>והוא אומרו בשפת חלקות להפקת רצונו ממנו, אמנם בענין התפלה לא</w:t>
      </w:r>
      <w:r w:rsidR="00885AF0">
        <w:rPr>
          <w:rFonts w:hint="cs"/>
          <w:rtl/>
        </w:rPr>
        <w:t>-</w:t>
      </w:r>
      <w:r w:rsidRPr="00B44104">
        <w:rPr>
          <w:rtl/>
        </w:rPr>
        <w:t>ל ית' צריך שידע האדם ויכיר קודם תפלתו לאל</w:t>
      </w:r>
      <w:r w:rsidR="00885AF0">
        <w:rPr>
          <w:rFonts w:hint="cs"/>
          <w:rtl/>
        </w:rPr>
        <w:t>ק</w:t>
      </w:r>
      <w:r w:rsidRPr="00B44104">
        <w:rPr>
          <w:rtl/>
        </w:rPr>
        <w:t>יו, כי אין מי שיכול לתת את שאלתו ולעשות את בקשתו, אלא הוא ית', כי הוא ברא את העולם, ולו נתכנו עלילות, ולזה צריך להקדים ולסדר שבחו של מקום, לומר שהוא יודע ומכיר כי מצד שבחו וגדולתו שהוא מקומו של עולם ואין העולם מקומו, הוא ראוי שיתפללו אליו, כי הוא מוריש ומעשיר משפיל אף מרומם, ואומר ועושה גוזר ומקיים, ואין מי יאמר לו מה תעשה. ולכן שואל ממנו שאלותיו ומשליך עליו יהבו והוא יכלכלהו.</w:t>
      </w:r>
    </w:p>
    <w:p w14:paraId="5CCCE550" w14:textId="77777777" w:rsidR="009E50C3" w:rsidRDefault="009E50C3" w:rsidP="009E50C3">
      <w:pPr>
        <w:ind w:left="-90"/>
        <w:rPr>
          <w:rFonts w:cs="Arial"/>
          <w:b/>
          <w:bCs/>
        </w:rPr>
      </w:pPr>
      <w:r w:rsidRPr="00E20FBB">
        <w:rPr>
          <w:rFonts w:cs="Arial"/>
          <w:b/>
          <w:bCs/>
        </w:rPr>
        <w:t xml:space="preserve">Rav </w:t>
      </w:r>
      <w:r>
        <w:rPr>
          <w:rFonts w:cs="Arial"/>
          <w:b/>
          <w:bCs/>
        </w:rPr>
        <w:t xml:space="preserve">Shimshon Rafael </w:t>
      </w:r>
      <w:r w:rsidRPr="00E20FBB">
        <w:rPr>
          <w:rFonts w:cs="Arial"/>
          <w:b/>
          <w:bCs/>
        </w:rPr>
        <w:t>Hirsch (The Hirsch Siddur pg. 125)</w:t>
      </w:r>
    </w:p>
    <w:p w14:paraId="3B860F9F" w14:textId="77777777" w:rsidR="009E50C3" w:rsidRPr="00E20FBB" w:rsidRDefault="009E50C3" w:rsidP="009E50C3">
      <w:pPr>
        <w:ind w:left="-90"/>
        <w:rPr>
          <w:rFonts w:cs="Arial"/>
        </w:rPr>
      </w:pPr>
      <w:r>
        <w:rPr>
          <w:rFonts w:cs="Arial"/>
        </w:rPr>
        <w:t xml:space="preserve">It is </w:t>
      </w:r>
      <w:r>
        <w:rPr>
          <w:rFonts w:cs="Arial" w:hint="cs"/>
          <w:rtl/>
        </w:rPr>
        <w:t>סומך גאולה לתפילה</w:t>
      </w:r>
      <w:r>
        <w:rPr>
          <w:rFonts w:cs="Arial"/>
        </w:rPr>
        <w:t xml:space="preserve"> and thus emphasizes that it is solely on the strength of the redemption which we have already experienced at the Hands of G-d in the past that we now approach Him with all our yearnings, prayers, and hopes for our future as contained in the [</w:t>
      </w:r>
      <w:r>
        <w:rPr>
          <w:rFonts w:cs="Arial" w:hint="cs"/>
          <w:rtl/>
        </w:rPr>
        <w:t>שמונה עשרה</w:t>
      </w:r>
      <w:r>
        <w:rPr>
          <w:rFonts w:cs="Arial"/>
        </w:rPr>
        <w:t xml:space="preserve">]. </w:t>
      </w:r>
    </w:p>
    <w:p w14:paraId="08CFAD1E" w14:textId="77777777" w:rsidR="00FC70E4" w:rsidRDefault="00FC70E4" w:rsidP="009E50C3">
      <w:pPr>
        <w:rPr>
          <w:rFonts w:ascii="Calibri" w:eastAsia="Calibri" w:hAnsi="Calibri" w:cs="Arial"/>
          <w:b/>
          <w:bCs/>
          <w:sz w:val="30"/>
          <w:szCs w:val="30"/>
          <w:u w:val="single"/>
        </w:rPr>
      </w:pPr>
    </w:p>
    <w:p w14:paraId="440B2312" w14:textId="1026BDF6" w:rsidR="0094611C" w:rsidRPr="007F6432" w:rsidRDefault="0094611C" w:rsidP="00FC70E4">
      <w:pPr>
        <w:jc w:val="right"/>
        <w:rPr>
          <w:rFonts w:ascii="Calibri" w:eastAsia="Calibri" w:hAnsi="Calibri" w:cs="Arial"/>
          <w:b/>
          <w:bCs/>
          <w:sz w:val="30"/>
          <w:szCs w:val="30"/>
          <w:u w:val="single"/>
          <w:rtl/>
        </w:rPr>
      </w:pPr>
    </w:p>
    <w:p w14:paraId="3FB8407F" w14:textId="77777777" w:rsidR="00525C9E" w:rsidRDefault="00525C9E"/>
    <w:sectPr w:rsidR="00525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D055" w14:textId="77777777" w:rsidR="00020DC8" w:rsidRDefault="00020DC8" w:rsidP="005C2E4E">
      <w:pPr>
        <w:spacing w:after="0" w:line="240" w:lineRule="auto"/>
      </w:pPr>
      <w:r>
        <w:separator/>
      </w:r>
    </w:p>
  </w:endnote>
  <w:endnote w:type="continuationSeparator" w:id="0">
    <w:p w14:paraId="40666528" w14:textId="77777777" w:rsidR="00020DC8" w:rsidRDefault="00020DC8" w:rsidP="005C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2103" w14:textId="77777777" w:rsidR="00020DC8" w:rsidRDefault="00020DC8" w:rsidP="005C2E4E">
      <w:pPr>
        <w:spacing w:after="0" w:line="240" w:lineRule="auto"/>
      </w:pPr>
      <w:r>
        <w:separator/>
      </w:r>
    </w:p>
  </w:footnote>
  <w:footnote w:type="continuationSeparator" w:id="0">
    <w:p w14:paraId="62EE4AC2" w14:textId="77777777" w:rsidR="00020DC8" w:rsidRDefault="00020DC8" w:rsidP="005C2E4E">
      <w:pPr>
        <w:spacing w:after="0" w:line="240" w:lineRule="auto"/>
      </w:pPr>
      <w:r>
        <w:continuationSeparator/>
      </w:r>
    </w:p>
  </w:footnote>
  <w:footnote w:id="1">
    <w:p w14:paraId="4A8C8C5E" w14:textId="69C7F397" w:rsidR="00DE7169" w:rsidRPr="00DE7169" w:rsidRDefault="00DE7169">
      <w:pPr>
        <w:pStyle w:val="FootnoteText"/>
        <w:rPr>
          <w:rFonts w:hint="cs"/>
          <w:sz w:val="16"/>
          <w:szCs w:val="16"/>
          <w:rtl/>
        </w:rPr>
      </w:pPr>
      <w:r w:rsidRPr="00DE7169">
        <w:rPr>
          <w:rStyle w:val="FootnoteReference"/>
          <w:sz w:val="16"/>
          <w:szCs w:val="16"/>
        </w:rPr>
        <w:footnoteRef/>
      </w:r>
      <w:r w:rsidRPr="00DE7169">
        <w:rPr>
          <w:sz w:val="16"/>
          <w:szCs w:val="16"/>
        </w:rPr>
        <w:t xml:space="preserve"> Found in the </w:t>
      </w:r>
      <w:r w:rsidRPr="00DE7169">
        <w:rPr>
          <w:rFonts w:hint="cs"/>
          <w:sz w:val="16"/>
          <w:szCs w:val="16"/>
          <w:rtl/>
        </w:rPr>
        <w:t>ילקוט מפרשים החדש על הרי"ף</w:t>
      </w:r>
      <w:r w:rsidRPr="00DE7169">
        <w:rPr>
          <w:sz w:val="16"/>
          <w:szCs w:val="16"/>
        </w:rPr>
        <w:t xml:space="preserve"> in the </w:t>
      </w:r>
      <w:r w:rsidRPr="00DE7169">
        <w:rPr>
          <w:rFonts w:hint="cs"/>
          <w:sz w:val="16"/>
          <w:szCs w:val="16"/>
          <w:rtl/>
        </w:rPr>
        <w:t xml:space="preserve">מהדורת עוז </w:t>
      </w:r>
      <w:proofErr w:type="gramStart"/>
      <w:r w:rsidRPr="00DE7169">
        <w:rPr>
          <w:rFonts w:hint="cs"/>
          <w:sz w:val="16"/>
          <w:szCs w:val="16"/>
          <w:rtl/>
        </w:rPr>
        <w:t>והדר</w:t>
      </w:r>
      <w:proofErr w:type="gramEnd"/>
    </w:p>
  </w:footnote>
  <w:footnote w:id="2">
    <w:p w14:paraId="2C9F1171" w14:textId="1FA9C426" w:rsidR="005C2E4E" w:rsidRPr="005C2E4E" w:rsidRDefault="005C2E4E">
      <w:pPr>
        <w:pStyle w:val="FootnoteText"/>
        <w:rPr>
          <w:sz w:val="16"/>
          <w:szCs w:val="16"/>
        </w:rPr>
      </w:pPr>
      <w:r w:rsidRPr="005C2E4E">
        <w:rPr>
          <w:rStyle w:val="FootnoteReference"/>
          <w:sz w:val="16"/>
          <w:szCs w:val="16"/>
        </w:rPr>
        <w:footnoteRef/>
      </w:r>
      <w:r w:rsidRPr="005C2E4E">
        <w:rPr>
          <w:sz w:val="16"/>
          <w:szCs w:val="16"/>
        </w:rPr>
        <w:t xml:space="preserve"> If you have extra time, keep learning </w:t>
      </w:r>
      <w:r>
        <w:rPr>
          <w:sz w:val="16"/>
          <w:szCs w:val="16"/>
        </w:rPr>
        <w:t xml:space="preserve">further in the Gemara for the famous </w:t>
      </w:r>
      <w:r>
        <w:rPr>
          <w:rFonts w:hint="cs"/>
          <w:sz w:val="16"/>
          <w:szCs w:val="16"/>
          <w:rtl/>
        </w:rPr>
        <w:t>מעשה</w:t>
      </w:r>
      <w:r>
        <w:rPr>
          <w:sz w:val="16"/>
          <w:szCs w:val="16"/>
        </w:rPr>
        <w:t xml:space="preserve"> involving </w:t>
      </w:r>
      <w:r>
        <w:rPr>
          <w:rFonts w:hint="cs"/>
          <w:sz w:val="16"/>
          <w:szCs w:val="16"/>
          <w:rtl/>
        </w:rPr>
        <w:t>ר"ג</w:t>
      </w:r>
      <w:r>
        <w:rPr>
          <w:sz w:val="16"/>
          <w:szCs w:val="16"/>
        </w:rPr>
        <w:t xml:space="preserve"> and </w:t>
      </w:r>
      <w:r>
        <w:rPr>
          <w:rFonts w:hint="cs"/>
          <w:sz w:val="16"/>
          <w:szCs w:val="16"/>
          <w:rtl/>
        </w:rPr>
        <w:t>ר' יהושע</w:t>
      </w:r>
      <w:r>
        <w:rPr>
          <w:sz w:val="16"/>
          <w:szCs w:val="16"/>
        </w:rPr>
        <w:t xml:space="preserve"> which is centered around the sugya at hand of </w:t>
      </w:r>
      <w:r>
        <w:rPr>
          <w:rFonts w:hint="cs"/>
          <w:sz w:val="16"/>
          <w:szCs w:val="16"/>
          <w:rtl/>
        </w:rPr>
        <w:t>תפילת ערבית רשות או חובה</w:t>
      </w:r>
      <w:r>
        <w:rPr>
          <w:sz w:val="16"/>
          <w:szCs w:val="16"/>
        </w:rPr>
        <w:t xml:space="preserve">.  The </w:t>
      </w:r>
      <w:r>
        <w:rPr>
          <w:rFonts w:hint="cs"/>
          <w:sz w:val="16"/>
          <w:szCs w:val="16"/>
          <w:rtl/>
        </w:rPr>
        <w:t>מעשה</w:t>
      </w:r>
      <w:r>
        <w:rPr>
          <w:sz w:val="16"/>
          <w:szCs w:val="16"/>
        </w:rPr>
        <w:t xml:space="preserve"> continues until </w:t>
      </w:r>
      <w:r>
        <w:rPr>
          <w:rFonts w:hint="cs"/>
          <w:sz w:val="16"/>
          <w:szCs w:val="16"/>
          <w:rtl/>
        </w:rPr>
        <w:t>כח.</w:t>
      </w:r>
      <w:r>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374"/>
    <w:rsid w:val="00020DC8"/>
    <w:rsid w:val="00525C9E"/>
    <w:rsid w:val="005C2E4E"/>
    <w:rsid w:val="007D519F"/>
    <w:rsid w:val="00885AF0"/>
    <w:rsid w:val="008D3A8B"/>
    <w:rsid w:val="0094611C"/>
    <w:rsid w:val="009E50C3"/>
    <w:rsid w:val="00B04C3D"/>
    <w:rsid w:val="00B44104"/>
    <w:rsid w:val="00C75374"/>
    <w:rsid w:val="00CE7E03"/>
    <w:rsid w:val="00DE7169"/>
    <w:rsid w:val="00FC70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6699"/>
  <w15:chartTrackingRefBased/>
  <w15:docId w15:val="{7B1D20EF-D6DD-4D76-924C-AD769520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3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2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E4E"/>
    <w:rPr>
      <w:sz w:val="20"/>
      <w:szCs w:val="20"/>
    </w:rPr>
  </w:style>
  <w:style w:type="character" w:styleId="FootnoteReference">
    <w:name w:val="footnote reference"/>
    <w:basedOn w:val="DefaultParagraphFont"/>
    <w:uiPriority w:val="99"/>
    <w:semiHidden/>
    <w:unhideWhenUsed/>
    <w:rsid w:val="005C2E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2023-07-17T18:43:00Z</dcterms:created>
  <dcterms:modified xsi:type="dcterms:W3CDTF">2023-07-18T14:22:00Z</dcterms:modified>
</cp:coreProperties>
</file>