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14A0" w14:textId="77777777" w:rsidR="00A02667" w:rsidRPr="00C05CF6" w:rsidRDefault="00A02667" w:rsidP="00A02667">
      <w:pPr>
        <w:jc w:val="right"/>
        <w:rPr>
          <w:rtl/>
          <w:lang w:bidi="he-IL"/>
        </w:rPr>
      </w:pPr>
      <w:r w:rsidRPr="00C05CF6">
        <w:rPr>
          <w:rFonts w:hint="cs"/>
          <w:rtl/>
          <w:lang w:bidi="he-IL"/>
        </w:rPr>
        <w:t>הרב שמואל דוב ווייס</w:t>
      </w:r>
    </w:p>
    <w:p w14:paraId="6983DE6B" w14:textId="67CB0340" w:rsidR="00A02667" w:rsidRPr="000834AD" w:rsidRDefault="00A02667" w:rsidP="00A02667">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2</w:t>
      </w:r>
      <w:r w:rsidRPr="00C05CF6">
        <w:rPr>
          <w:rFonts w:hint="cs"/>
          <w:rtl/>
          <w:lang w:bidi="he-IL"/>
        </w:rPr>
        <w:t>)</w:t>
      </w:r>
    </w:p>
    <w:p w14:paraId="02F893BB" w14:textId="77777777" w:rsidR="00A02667" w:rsidRDefault="00A02667" w:rsidP="00A02667">
      <w:pPr>
        <w:jc w:val="right"/>
        <w:rPr>
          <w:u w:val="single"/>
          <w:rtl/>
          <w:lang w:bidi="he-IL"/>
        </w:rPr>
      </w:pPr>
      <w:r>
        <w:rPr>
          <w:rFonts w:hint="cs"/>
          <w:u w:val="single"/>
          <w:rtl/>
          <w:lang w:bidi="he-IL"/>
        </w:rPr>
        <w:t>הקדמה למצות ק"ש</w:t>
      </w:r>
    </w:p>
    <w:p w14:paraId="64BEDED6" w14:textId="0B151E15" w:rsidR="00A02667" w:rsidRDefault="00A02667" w:rsidP="00A02667">
      <w:pPr>
        <w:jc w:val="right"/>
        <w:rPr>
          <w:rtl/>
          <w:lang w:bidi="he-IL"/>
        </w:rPr>
      </w:pPr>
      <w:r w:rsidRPr="00A02667">
        <w:rPr>
          <w:b/>
          <w:bCs/>
          <w:rtl/>
          <w:lang w:bidi="he-IL"/>
        </w:rPr>
        <w:t>משנה</w:t>
      </w:r>
      <w:r>
        <w:rPr>
          <w:rFonts w:hint="cs"/>
          <w:b/>
          <w:bCs/>
          <w:rtl/>
          <w:lang w:bidi="he-IL"/>
        </w:rPr>
        <w:t xml:space="preserve"> </w:t>
      </w:r>
      <w:r w:rsidRPr="00A02667">
        <w:rPr>
          <w:rFonts w:hint="cs"/>
          <w:rtl/>
          <w:lang w:bidi="he-IL"/>
        </w:rPr>
        <w:t>כ:</w:t>
      </w:r>
      <w:r>
        <w:rPr>
          <w:rFonts w:hint="cs"/>
          <w:rtl/>
          <w:lang w:bidi="he-IL"/>
        </w:rPr>
        <w:t xml:space="preserve">, </w:t>
      </w:r>
      <w:r w:rsidRPr="00A02667">
        <w:rPr>
          <w:rFonts w:hint="cs"/>
          <w:b/>
          <w:bCs/>
          <w:rtl/>
          <w:lang w:bidi="he-IL"/>
        </w:rPr>
        <w:t>רש"י</w:t>
      </w:r>
      <w:r>
        <w:rPr>
          <w:rFonts w:hint="cs"/>
          <w:rtl/>
          <w:lang w:bidi="he-IL"/>
        </w:rPr>
        <w:t xml:space="preserve"> שם</w:t>
      </w:r>
    </w:p>
    <w:p w14:paraId="7924A50F" w14:textId="7D5E0CDB" w:rsidR="00A02667" w:rsidRDefault="00A02667" w:rsidP="00A02667">
      <w:pPr>
        <w:jc w:val="right"/>
        <w:rPr>
          <w:rtl/>
          <w:lang w:bidi="he-IL"/>
        </w:rPr>
      </w:pPr>
      <w:r w:rsidRPr="00A02667">
        <w:rPr>
          <w:b/>
          <w:bCs/>
          <w:rtl/>
          <w:lang w:bidi="he-IL"/>
        </w:rPr>
        <w:t>גמ'</w:t>
      </w:r>
      <w:r>
        <w:rPr>
          <w:rFonts w:hint="cs"/>
          <w:b/>
          <w:bCs/>
          <w:rtl/>
          <w:lang w:bidi="he-IL"/>
        </w:rPr>
        <w:t xml:space="preserve"> </w:t>
      </w:r>
      <w:r w:rsidRPr="00A02667">
        <w:rPr>
          <w:rFonts w:hint="cs"/>
          <w:rtl/>
          <w:lang w:bidi="he-IL"/>
        </w:rPr>
        <w:t>כא.</w:t>
      </w:r>
      <w:r>
        <w:rPr>
          <w:rFonts w:hint="cs"/>
          <w:rtl/>
          <w:lang w:bidi="he-IL"/>
        </w:rPr>
        <w:t xml:space="preserve"> ["אמר רב יהודה ספק...  כל היום כולו"], </w:t>
      </w:r>
      <w:r w:rsidRPr="00A02667">
        <w:rPr>
          <w:rFonts w:hint="cs"/>
          <w:b/>
          <w:bCs/>
          <w:rtl/>
          <w:lang w:bidi="he-IL"/>
        </w:rPr>
        <w:t>רש"י</w:t>
      </w:r>
      <w:r>
        <w:rPr>
          <w:rFonts w:hint="cs"/>
          <w:rtl/>
          <w:lang w:bidi="he-IL"/>
        </w:rPr>
        <w:t xml:space="preserve"> שם</w:t>
      </w:r>
    </w:p>
    <w:p w14:paraId="1A883801" w14:textId="60575764" w:rsidR="00A02667" w:rsidRDefault="00F6282D" w:rsidP="00F6282D">
      <w:pPr>
        <w:jc w:val="right"/>
        <w:rPr>
          <w:rtl/>
          <w:lang w:bidi="he-IL"/>
        </w:rPr>
      </w:pPr>
      <w:r w:rsidRPr="00F6282D">
        <w:rPr>
          <w:rFonts w:hint="cs"/>
          <w:b/>
          <w:bCs/>
          <w:rtl/>
          <w:lang w:bidi="he-IL"/>
        </w:rPr>
        <w:t>רי"ף</w:t>
      </w:r>
      <w:r>
        <w:rPr>
          <w:rFonts w:hint="cs"/>
          <w:b/>
          <w:bCs/>
          <w:rtl/>
          <w:lang w:bidi="he-IL"/>
        </w:rPr>
        <w:t xml:space="preserve"> יב:</w:t>
      </w:r>
      <w:r w:rsidRPr="00F6282D">
        <w:rPr>
          <w:rFonts w:hint="cs"/>
          <w:rtl/>
          <w:lang w:bidi="he-IL"/>
        </w:rPr>
        <w:t xml:space="preserve"> </w:t>
      </w:r>
      <w:r>
        <w:rPr>
          <w:rFonts w:hint="cs"/>
          <w:rtl/>
          <w:lang w:bidi="he-IL"/>
        </w:rPr>
        <w:t>(</w:t>
      </w:r>
      <w:r w:rsidRPr="00F6282D">
        <w:rPr>
          <w:rFonts w:hint="cs"/>
          <w:rtl/>
          <w:lang w:bidi="he-IL"/>
        </w:rPr>
        <w:t>בדפיו</w:t>
      </w:r>
      <w:r>
        <w:rPr>
          <w:rFonts w:hint="cs"/>
          <w:rtl/>
          <w:lang w:bidi="he-IL"/>
        </w:rPr>
        <w:t>) ["רב יהודה אמר שמואל...</w:t>
      </w:r>
      <w:r w:rsidRPr="00F6282D">
        <w:rPr>
          <w:rtl/>
          <w:lang w:bidi="he-IL"/>
        </w:rPr>
        <w:t xml:space="preserve"> והלכתא כר' יוחנן דאמר הלואי שיתפלל אדם כל היום כולו</w:t>
      </w:r>
      <w:r>
        <w:rPr>
          <w:rFonts w:hint="cs"/>
          <w:rtl/>
          <w:lang w:bidi="he-IL"/>
        </w:rPr>
        <w:t xml:space="preserve">"], </w:t>
      </w:r>
      <w:r w:rsidRPr="00F6282D">
        <w:rPr>
          <w:rFonts w:hint="cs"/>
          <w:b/>
          <w:bCs/>
          <w:rtl/>
          <w:lang w:bidi="he-IL"/>
        </w:rPr>
        <w:t>רבינו יונה</w:t>
      </w:r>
      <w:r>
        <w:rPr>
          <w:rFonts w:hint="cs"/>
          <w:b/>
          <w:bCs/>
          <w:rtl/>
          <w:lang w:bidi="he-IL"/>
        </w:rPr>
        <w:t xml:space="preserve"> </w:t>
      </w:r>
      <w:r w:rsidRPr="00F6282D">
        <w:rPr>
          <w:rFonts w:hint="cs"/>
          <w:rtl/>
          <w:lang w:bidi="he-IL"/>
        </w:rPr>
        <w:t>שם</w:t>
      </w:r>
      <w:r>
        <w:rPr>
          <w:rFonts w:hint="cs"/>
          <w:rtl/>
          <w:lang w:bidi="he-IL"/>
        </w:rPr>
        <w:t xml:space="preserve"> (ד"ה אמר רב יהודה אמר שמואל)</w:t>
      </w:r>
    </w:p>
    <w:p w14:paraId="36783630" w14:textId="1621468A" w:rsidR="00501992" w:rsidRDefault="00501992" w:rsidP="00F6282D">
      <w:pPr>
        <w:jc w:val="right"/>
        <w:rPr>
          <w:rtl/>
          <w:lang w:bidi="he-IL"/>
        </w:rPr>
      </w:pPr>
      <w:r w:rsidRPr="00501992">
        <w:rPr>
          <w:rFonts w:hint="cs"/>
          <w:b/>
          <w:bCs/>
          <w:rtl/>
          <w:lang w:bidi="he-IL"/>
        </w:rPr>
        <w:t>משנה</w:t>
      </w:r>
      <w:r>
        <w:rPr>
          <w:rFonts w:hint="cs"/>
          <w:rtl/>
          <w:lang w:bidi="he-IL"/>
        </w:rPr>
        <w:t xml:space="preserve"> י:</w:t>
      </w:r>
      <w:r w:rsidR="00BF1663">
        <w:rPr>
          <w:rFonts w:hint="cs"/>
          <w:rtl/>
          <w:lang w:bidi="he-IL"/>
        </w:rPr>
        <w:t xml:space="preserve">, </w:t>
      </w:r>
      <w:r w:rsidR="00BF1663" w:rsidRPr="00BF1663">
        <w:rPr>
          <w:rFonts w:hint="cs"/>
          <w:b/>
          <w:bCs/>
          <w:rtl/>
          <w:lang w:bidi="he-IL"/>
        </w:rPr>
        <w:t>גמ'</w:t>
      </w:r>
      <w:r w:rsidR="00BF1663">
        <w:rPr>
          <w:rFonts w:hint="cs"/>
          <w:b/>
          <w:bCs/>
          <w:rtl/>
          <w:lang w:bidi="he-IL"/>
        </w:rPr>
        <w:t xml:space="preserve"> </w:t>
      </w:r>
      <w:r w:rsidR="00BF1663" w:rsidRPr="00BF1663">
        <w:rPr>
          <w:rFonts w:hint="cs"/>
          <w:rtl/>
          <w:lang w:bidi="he-IL"/>
        </w:rPr>
        <w:t>יא.</w:t>
      </w:r>
      <w:r w:rsidR="00BF1663">
        <w:rPr>
          <w:rFonts w:hint="cs"/>
          <w:rtl/>
          <w:lang w:bidi="he-IL"/>
        </w:rPr>
        <w:t xml:space="preserve"> ["בשלמא... פרט לחתן"], </w:t>
      </w:r>
      <w:r w:rsidR="00BF1663" w:rsidRPr="00501992">
        <w:rPr>
          <w:rFonts w:hint="cs"/>
          <w:b/>
          <w:bCs/>
          <w:rtl/>
          <w:lang w:bidi="he-IL"/>
        </w:rPr>
        <w:t>רש"י</w:t>
      </w:r>
      <w:r w:rsidR="00BF1663">
        <w:rPr>
          <w:rFonts w:hint="cs"/>
          <w:rtl/>
          <w:lang w:bidi="he-IL"/>
        </w:rPr>
        <w:t xml:space="preserve"> שם</w:t>
      </w:r>
    </w:p>
    <w:p w14:paraId="73DDC104" w14:textId="6844D91B" w:rsidR="00736381" w:rsidRDefault="00736381" w:rsidP="00F6282D">
      <w:pPr>
        <w:jc w:val="right"/>
        <w:rPr>
          <w:b/>
          <w:bCs/>
          <w:rtl/>
          <w:lang w:bidi="he-IL"/>
        </w:rPr>
      </w:pPr>
      <w:r>
        <w:rPr>
          <w:rFonts w:hint="cs"/>
          <w:b/>
          <w:bCs/>
          <w:rtl/>
          <w:lang w:bidi="he-IL"/>
        </w:rPr>
        <w:t xml:space="preserve">משנה </w:t>
      </w:r>
      <w:r w:rsidRPr="00736381">
        <w:rPr>
          <w:rFonts w:hint="cs"/>
          <w:rtl/>
          <w:lang w:bidi="he-IL"/>
        </w:rPr>
        <w:t>יג.</w:t>
      </w:r>
      <w:r>
        <w:rPr>
          <w:rFonts w:hint="cs"/>
          <w:rtl/>
          <w:lang w:bidi="he-IL"/>
        </w:rPr>
        <w:t xml:space="preserve"> ["אמר ר' יהושע בן קרחה</w:t>
      </w:r>
      <w:r w:rsidR="0042310A">
        <w:rPr>
          <w:rFonts w:hint="cs"/>
          <w:rtl/>
          <w:lang w:bidi="he-IL"/>
        </w:rPr>
        <w:t xml:space="preserve">...בלבד"], </w:t>
      </w:r>
      <w:r w:rsidR="0042310A" w:rsidRPr="0042310A">
        <w:rPr>
          <w:rFonts w:hint="cs"/>
          <w:b/>
          <w:bCs/>
          <w:rtl/>
          <w:lang w:bidi="he-IL"/>
        </w:rPr>
        <w:t>רש"י</w:t>
      </w:r>
      <w:r w:rsidR="0042310A">
        <w:rPr>
          <w:rFonts w:hint="cs"/>
          <w:rtl/>
          <w:lang w:bidi="he-IL"/>
        </w:rPr>
        <w:t xml:space="preserve"> שם</w:t>
      </w:r>
    </w:p>
    <w:p w14:paraId="7AEF078B" w14:textId="6F92F569" w:rsidR="00CF7C54" w:rsidRDefault="00CF7C54" w:rsidP="00F6282D">
      <w:pPr>
        <w:jc w:val="right"/>
        <w:rPr>
          <w:rtl/>
          <w:lang w:bidi="he-IL"/>
        </w:rPr>
      </w:pPr>
      <w:r w:rsidRPr="00CF7C54">
        <w:rPr>
          <w:b/>
          <w:bCs/>
          <w:rtl/>
          <w:lang w:bidi="he-IL"/>
        </w:rPr>
        <w:t>גמ'</w:t>
      </w:r>
      <w:r>
        <w:rPr>
          <w:rtl/>
          <w:lang w:bidi="he-IL"/>
        </w:rPr>
        <w:t xml:space="preserve"> יג.</w:t>
      </w:r>
      <w:r>
        <w:rPr>
          <w:rFonts w:hint="cs"/>
          <w:rtl/>
          <w:lang w:bidi="he-IL"/>
        </w:rPr>
        <w:t xml:space="preserve"> ["תנו רבנן קריאת שמע..."]- יג: [עד "...הלכה כרבי עקיבא"], </w:t>
      </w:r>
      <w:r w:rsidRPr="00CF7C54">
        <w:rPr>
          <w:rFonts w:hint="cs"/>
          <w:b/>
          <w:bCs/>
          <w:rtl/>
          <w:lang w:bidi="he-IL"/>
        </w:rPr>
        <w:t>רש"י</w:t>
      </w:r>
      <w:r>
        <w:rPr>
          <w:rFonts w:hint="cs"/>
          <w:rtl/>
          <w:lang w:bidi="he-IL"/>
        </w:rPr>
        <w:t xml:space="preserve"> שם </w:t>
      </w:r>
    </w:p>
    <w:p w14:paraId="3DE62876" w14:textId="0EE1465B" w:rsidR="00BE7B1D" w:rsidRDefault="00BE7B1D" w:rsidP="00F6282D">
      <w:pPr>
        <w:jc w:val="right"/>
        <w:rPr>
          <w:rtl/>
          <w:lang w:bidi="he-IL"/>
        </w:rPr>
      </w:pPr>
      <w:r w:rsidRPr="00BE7B1D">
        <w:rPr>
          <w:rFonts w:hint="cs"/>
          <w:b/>
          <w:bCs/>
          <w:rtl/>
          <w:lang w:bidi="he-IL"/>
        </w:rPr>
        <w:t>שו"ת שאגת אריה</w:t>
      </w:r>
      <w:r>
        <w:rPr>
          <w:rFonts w:hint="cs"/>
          <w:b/>
          <w:bCs/>
          <w:rtl/>
          <w:lang w:bidi="he-IL"/>
        </w:rPr>
        <w:t xml:space="preserve"> </w:t>
      </w:r>
      <w:r w:rsidRPr="00BE7B1D">
        <w:rPr>
          <w:rFonts w:hint="cs"/>
          <w:rtl/>
          <w:lang w:bidi="he-IL"/>
        </w:rPr>
        <w:t>סי' א'</w:t>
      </w:r>
      <w:r>
        <w:rPr>
          <w:rStyle w:val="FootnoteReference"/>
          <w:rtl/>
          <w:lang w:bidi="he-IL"/>
        </w:rPr>
        <w:footnoteReference w:id="1"/>
      </w:r>
    </w:p>
    <w:p w14:paraId="67330A14" w14:textId="33497106" w:rsidR="00D46468" w:rsidRDefault="00D46468" w:rsidP="00F6282D">
      <w:pPr>
        <w:jc w:val="right"/>
        <w:rPr>
          <w:rtl/>
          <w:lang w:bidi="he-IL"/>
        </w:rPr>
      </w:pPr>
      <w:r w:rsidRPr="00D46468">
        <w:rPr>
          <w:rFonts w:hint="cs"/>
          <w:b/>
          <w:bCs/>
          <w:rtl/>
          <w:lang w:bidi="he-IL"/>
        </w:rPr>
        <w:t>קרן אורה</w:t>
      </w:r>
      <w:r>
        <w:rPr>
          <w:rFonts w:hint="cs"/>
          <w:b/>
          <w:bCs/>
          <w:rtl/>
          <w:lang w:bidi="he-IL"/>
        </w:rPr>
        <w:t xml:space="preserve"> </w:t>
      </w:r>
      <w:r>
        <w:rPr>
          <w:rFonts w:hint="cs"/>
          <w:rtl/>
          <w:lang w:bidi="he-IL"/>
        </w:rPr>
        <w:t>ג. (אות</w:t>
      </w:r>
      <w:r w:rsidR="00736381">
        <w:rPr>
          <w:rFonts w:hint="cs"/>
          <w:rtl/>
          <w:lang w:bidi="he-IL"/>
        </w:rPr>
        <w:t>יות</w:t>
      </w:r>
      <w:r>
        <w:rPr>
          <w:rFonts w:hint="cs"/>
          <w:rtl/>
          <w:lang w:bidi="he-IL"/>
        </w:rPr>
        <w:t xml:space="preserve"> </w:t>
      </w:r>
      <w:r w:rsidR="00736381">
        <w:rPr>
          <w:rFonts w:hint="cs"/>
          <w:rtl/>
          <w:lang w:bidi="he-IL"/>
        </w:rPr>
        <w:t>א',</w:t>
      </w:r>
      <w:r>
        <w:rPr>
          <w:rFonts w:hint="cs"/>
          <w:rtl/>
          <w:lang w:bidi="he-IL"/>
        </w:rPr>
        <w:t>ד')</w:t>
      </w:r>
      <w:r>
        <w:rPr>
          <w:rStyle w:val="FootnoteReference"/>
          <w:rtl/>
          <w:lang w:bidi="he-IL"/>
        </w:rPr>
        <w:footnoteReference w:id="2"/>
      </w:r>
    </w:p>
    <w:p w14:paraId="25643AD1" w14:textId="235EAD57" w:rsidR="00BD2344" w:rsidRDefault="00BD2344" w:rsidP="00BD2344">
      <w:pPr>
        <w:jc w:val="right"/>
        <w:rPr>
          <w:vertAlign w:val="superscript"/>
          <w:rtl/>
          <w:lang w:bidi="he-IL"/>
        </w:rPr>
      </w:pPr>
      <w:r w:rsidRPr="00BD2344">
        <w:rPr>
          <w:rFonts w:hint="cs"/>
          <w:b/>
          <w:bCs/>
          <w:rtl/>
          <w:lang w:bidi="he-IL"/>
        </w:rPr>
        <w:t>ספר המצוות לרמב"ם</w:t>
      </w:r>
      <w:r w:rsidRPr="00BD2344">
        <w:rPr>
          <w:rFonts w:hint="cs"/>
          <w:rtl/>
          <w:lang w:bidi="he-IL"/>
        </w:rPr>
        <w:t xml:space="preserve"> (מצות עשה </w:t>
      </w:r>
      <w:r>
        <w:rPr>
          <w:rFonts w:hint="cs"/>
          <w:rtl/>
          <w:lang w:bidi="he-IL"/>
        </w:rPr>
        <w:t>י',</w:t>
      </w:r>
      <w:r w:rsidRPr="00BD2344">
        <w:rPr>
          <w:rFonts w:hint="cs"/>
          <w:rtl/>
          <w:lang w:bidi="he-IL"/>
        </w:rPr>
        <w:t>י"א)</w:t>
      </w:r>
    </w:p>
    <w:p w14:paraId="2D2C7117" w14:textId="77777777" w:rsidR="00BD2344" w:rsidRDefault="00BD2344" w:rsidP="00BD2344">
      <w:pPr>
        <w:jc w:val="right"/>
        <w:rPr>
          <w:rtl/>
          <w:lang w:bidi="he-IL"/>
        </w:rPr>
      </w:pPr>
      <w:r w:rsidRPr="00BD2344">
        <w:rPr>
          <w:rFonts w:hint="cs"/>
          <w:b/>
          <w:bCs/>
          <w:rtl/>
          <w:lang w:bidi="he-IL"/>
        </w:rPr>
        <w:t>ספר</w:t>
      </w:r>
      <w:r>
        <w:rPr>
          <w:rFonts w:hint="cs"/>
          <w:b/>
          <w:bCs/>
          <w:rtl/>
          <w:lang w:bidi="he-IL"/>
        </w:rPr>
        <w:t xml:space="preserve"> החינוך</w:t>
      </w:r>
      <w:r>
        <w:rPr>
          <w:rFonts w:hint="cs"/>
          <w:rtl/>
          <w:lang w:bidi="he-IL"/>
        </w:rPr>
        <w:t xml:space="preserve"> מצוה תי"ט [עד "... ונחשב כבהמה"], מצוה ת"כ [עד "... שבני אדם קמין"]</w:t>
      </w:r>
    </w:p>
    <w:p w14:paraId="0AD19F7B" w14:textId="7963C52A" w:rsidR="0042310A" w:rsidRDefault="0042310A" w:rsidP="0042310A">
      <w:pPr>
        <w:jc w:val="right"/>
        <w:rPr>
          <w:rtl/>
          <w:lang w:bidi="he-IL"/>
        </w:rPr>
      </w:pPr>
      <w:r w:rsidRPr="00736381">
        <w:rPr>
          <w:rFonts w:hint="cs"/>
          <w:b/>
          <w:bCs/>
          <w:rtl/>
          <w:lang w:bidi="he-IL"/>
        </w:rPr>
        <w:t>משנה</w:t>
      </w:r>
      <w:r>
        <w:rPr>
          <w:rFonts w:hint="cs"/>
          <w:b/>
          <w:bCs/>
          <w:rtl/>
          <w:lang w:bidi="he-IL"/>
        </w:rPr>
        <w:t xml:space="preserve"> </w:t>
      </w:r>
      <w:r w:rsidRPr="00736381">
        <w:rPr>
          <w:rFonts w:hint="cs"/>
          <w:rtl/>
          <w:lang w:bidi="he-IL"/>
        </w:rPr>
        <w:t>ט:,</w:t>
      </w:r>
      <w:r>
        <w:rPr>
          <w:rFonts w:hint="cs"/>
          <w:b/>
          <w:bCs/>
          <w:rtl/>
          <w:lang w:bidi="he-IL"/>
        </w:rPr>
        <w:t xml:space="preserve"> גמ' </w:t>
      </w:r>
      <w:r w:rsidRPr="00736381">
        <w:rPr>
          <w:rFonts w:hint="cs"/>
          <w:rtl/>
          <w:lang w:bidi="he-IL"/>
        </w:rPr>
        <w:t>י: ["</w:t>
      </w:r>
      <w:r>
        <w:rPr>
          <w:rFonts w:hint="cs"/>
          <w:rtl/>
          <w:lang w:bidi="he-IL"/>
        </w:rPr>
        <w:t xml:space="preserve">א"ר מני גדול הקורא... בעונתה עדיף"], </w:t>
      </w:r>
      <w:r w:rsidRPr="00736381">
        <w:rPr>
          <w:rFonts w:hint="cs"/>
          <w:b/>
          <w:bCs/>
          <w:rtl/>
          <w:lang w:bidi="he-IL"/>
        </w:rPr>
        <w:t>רש"י</w:t>
      </w:r>
      <w:r>
        <w:rPr>
          <w:rFonts w:hint="cs"/>
          <w:rtl/>
          <w:lang w:bidi="he-IL"/>
        </w:rPr>
        <w:t xml:space="preserve"> שם</w:t>
      </w:r>
    </w:p>
    <w:p w14:paraId="26CB3D6E" w14:textId="29F67280" w:rsidR="00F41736" w:rsidRDefault="00F41736" w:rsidP="00BD2344">
      <w:pPr>
        <w:jc w:val="right"/>
        <w:rPr>
          <w:rtl/>
          <w:lang w:bidi="he-IL"/>
        </w:rPr>
      </w:pPr>
      <w:r>
        <w:rPr>
          <w:rtl/>
          <w:lang w:bidi="he-IL"/>
        </w:rPr>
        <w:t>[</w:t>
      </w:r>
      <w:r w:rsidRPr="00F41736">
        <w:rPr>
          <w:rFonts w:hint="cs"/>
          <w:b/>
          <w:bCs/>
          <w:rtl/>
          <w:lang w:bidi="he-IL"/>
        </w:rPr>
        <w:t>גמ' ב"מ</w:t>
      </w:r>
      <w:r>
        <w:rPr>
          <w:rFonts w:hint="cs"/>
          <w:rtl/>
          <w:lang w:bidi="he-IL"/>
        </w:rPr>
        <w:t xml:space="preserve"> פה. ("אמר רב יהודה אמר רב מאי דכתיב...") - פה: (עד "... בתורה תחילה"), </w:t>
      </w:r>
      <w:r w:rsidRPr="00F41736">
        <w:rPr>
          <w:rFonts w:hint="cs"/>
          <w:b/>
          <w:bCs/>
          <w:rtl/>
          <w:lang w:bidi="he-IL"/>
        </w:rPr>
        <w:t>רש"י</w:t>
      </w:r>
      <w:r>
        <w:rPr>
          <w:rFonts w:hint="cs"/>
          <w:rtl/>
          <w:lang w:bidi="he-IL"/>
        </w:rPr>
        <w:t xml:space="preserve"> שם, </w:t>
      </w:r>
      <w:r w:rsidRPr="00F41736">
        <w:rPr>
          <w:rFonts w:hint="cs"/>
          <w:b/>
          <w:bCs/>
          <w:rtl/>
          <w:lang w:bidi="he-IL"/>
        </w:rPr>
        <w:t>ר"ן</w:t>
      </w:r>
      <w:r>
        <w:rPr>
          <w:rFonts w:hint="cs"/>
          <w:b/>
          <w:bCs/>
          <w:rtl/>
          <w:lang w:bidi="he-IL"/>
        </w:rPr>
        <w:t xml:space="preserve"> </w:t>
      </w:r>
      <w:r w:rsidRPr="00F41736">
        <w:rPr>
          <w:rFonts w:hint="cs"/>
          <w:rtl/>
          <w:lang w:bidi="he-IL"/>
        </w:rPr>
        <w:t>נדרים</w:t>
      </w:r>
      <w:r>
        <w:rPr>
          <w:rFonts w:hint="cs"/>
          <w:rtl/>
          <w:lang w:bidi="he-IL"/>
        </w:rPr>
        <w:t xml:space="preserve"> פא. (ד"ה דבר זה נשאל לחכמים)</w:t>
      </w:r>
      <w:r w:rsidR="009D7DF9">
        <w:rPr>
          <w:rFonts w:hint="cs"/>
          <w:rtl/>
          <w:lang w:bidi="he-IL"/>
        </w:rPr>
        <w:t xml:space="preserve">,  </w:t>
      </w:r>
      <w:r w:rsidR="009D7DF9" w:rsidRPr="009D7DF9">
        <w:rPr>
          <w:rFonts w:hint="cs"/>
          <w:b/>
          <w:bCs/>
          <w:rtl/>
          <w:lang w:bidi="he-IL"/>
        </w:rPr>
        <w:t>חתם סופר</w:t>
      </w:r>
      <w:r w:rsidR="009D7DF9">
        <w:rPr>
          <w:rFonts w:hint="cs"/>
          <w:rtl/>
          <w:lang w:bidi="he-IL"/>
        </w:rPr>
        <w:t xml:space="preserve"> שם (ד"ה שלא ברכו בתורה תחילה)</w:t>
      </w:r>
      <w:r w:rsidR="009D7DF9">
        <w:rPr>
          <w:rStyle w:val="FootnoteReference"/>
          <w:rtl/>
          <w:lang w:bidi="he-IL"/>
        </w:rPr>
        <w:footnoteReference w:id="3"/>
      </w:r>
      <w:r w:rsidR="009D7DF9">
        <w:rPr>
          <w:rFonts w:hint="cs"/>
          <w:rtl/>
          <w:lang w:bidi="he-IL"/>
        </w:rPr>
        <w:t>]</w:t>
      </w:r>
    </w:p>
    <w:p w14:paraId="544F7712" w14:textId="77777777" w:rsidR="00A02667" w:rsidRDefault="00A02667" w:rsidP="00A02667">
      <w:pPr>
        <w:jc w:val="right"/>
        <w:rPr>
          <w:u w:val="single"/>
          <w:rtl/>
          <w:lang w:bidi="he-IL"/>
        </w:rPr>
      </w:pPr>
    </w:p>
    <w:p w14:paraId="4A567274" w14:textId="77777777" w:rsidR="00BE7B1D" w:rsidRPr="00B54871" w:rsidRDefault="00BE7B1D" w:rsidP="00BE7B1D">
      <w:pPr>
        <w:jc w:val="right"/>
        <w:rPr>
          <w:rtl/>
        </w:rPr>
      </w:pPr>
      <w:r w:rsidRPr="00B54871">
        <w:rPr>
          <w:b/>
          <w:bCs/>
          <w:rtl/>
        </w:rPr>
        <w:t>שו"ת שאגת אריה (ישנות) סימן א</w:t>
      </w:r>
      <w:r w:rsidRPr="00B54871">
        <w:t xml:space="preserve"> </w:t>
      </w:r>
    </w:p>
    <w:p w14:paraId="2DDCF82C" w14:textId="78426040" w:rsidR="00BE7B1D" w:rsidRPr="00B54871" w:rsidRDefault="00BE7B1D" w:rsidP="00BE7B1D">
      <w:pPr>
        <w:jc w:val="right"/>
        <w:rPr>
          <w:rtl/>
        </w:rPr>
      </w:pPr>
      <w:r w:rsidRPr="00B54871">
        <w:rPr>
          <w:rtl/>
        </w:rPr>
        <w:t>בפ' מי שמתו (דף כא) אר"י (אמר שמואל) ספק קרא ק"ש ספק לא קרא אינו חוזר וקורא ספק אמר אמת ויציב ספק לא אמר חוזר ואומר. מ"ט ק"ש דרבנן אמת ויציב דאוריית'. ור"א אמר ספק קרא ק"ש ספק לא קרא חוזר וקורא ספק התפלל ספק לא התפלל אינו חוזר ומתפלל. וכתב הרי"ף ולית הלכת' כשמואל דאמר ק"ש דרבנן דקי"ל ק"ש דאוריית' ע"כ. וכן פסקו רוב הפוסקים ז"ל ולא ביארו דבריהם אמאי לא קי"ל כשמואל דאמר ק"ש דרבנן ואדרב' מצד הסבר' היה נראה דקי"ל כשמואל לגבי ר"א דהוי כתלמיד לגבי שמואל כדמוכח בש"ס בכמה דוכתי ור' יוחנן דפליג עליה דר"א התם ואמר ולואי שיתפלל אדם כל היום כולו מ"מ בק"ש לא גלי דעתי' כמאן ס"ל. והכ"מ כ' בפ"ב מהל' ק"ש ונ"ל דנפק' להו מדאשכחן כמה ברייתות דדיינו דיני ק"ש מקראי ומשמע דראיות גמורו' נינהו ולשמואל נצטרך לומר דאסמכתות הם ע"כ. ואין בדבריו טעם וכי נתחכם יותר משמואל דוודאי ידע כל הני ברייתות ובמתניתין נמי תנן בפ"ק דברכו' (דף יא) ב</w:t>
      </w:r>
      <w:r w:rsidR="0042310A">
        <w:rPr>
          <w:rFonts w:hint="cs"/>
          <w:rtl/>
          <w:lang w:bidi="he-IL"/>
        </w:rPr>
        <w:t xml:space="preserve">ית </w:t>
      </w:r>
      <w:r w:rsidRPr="00B54871">
        <w:rPr>
          <w:rtl/>
        </w:rPr>
        <w:t>ש</w:t>
      </w:r>
      <w:r w:rsidR="0042310A">
        <w:rPr>
          <w:rFonts w:hint="cs"/>
          <w:rtl/>
          <w:lang w:bidi="he-IL"/>
        </w:rPr>
        <w:t>מאי אומרים</w:t>
      </w:r>
      <w:r w:rsidRPr="00B54871">
        <w:rPr>
          <w:rtl/>
        </w:rPr>
        <w:t xml:space="preserve"> בערב כל אדם יטה ויקרא ובבקר יעמוד שנא' בשכבך ובקומך וב</w:t>
      </w:r>
      <w:r w:rsidR="0042310A">
        <w:rPr>
          <w:rFonts w:hint="cs"/>
          <w:rtl/>
          <w:lang w:bidi="he-IL"/>
        </w:rPr>
        <w:t xml:space="preserve">ית הלל אומרים </w:t>
      </w:r>
      <w:r w:rsidRPr="00B54871">
        <w:rPr>
          <w:rtl/>
        </w:rPr>
        <w:t xml:space="preserve">כל אדם קורין כדרכן שנא' ובלכתך בדרך א"כ למה נאמר ובשכבך ובקומך בשעה שבני אדם שוכבין ובשעה שבני אדם עומדין וכי לא ידע שמואל ממתני' ואפ"ה ס"ל דק"ש דרבנן. אבל נ"ל דראיית הפוסקים דק"ש דאוריי' מהא דאמרינן באותה סוגי' מתיב רב יוסף ובשכבך ובקומך א"ל אביי ההוא בד"ת כתיב. ובפ"ק דנדרים (דף ח) אמרינן אמר רב גידל אמר רב האומר אשכים ואשנה פ' זה אשנה מסכתא זו נדר גדול נדר לאלהי ישראל ופריך והלא מושבע ועומד הוא ואין שבועה חל על שבועה מאי קמ"ל דאפי' זרוזי בעלמא היינו דרב גידל קמיית' ומשני הא קמ"ל כיון דאי בעי פטר נפשיה בק"ש שחרית וערבי' מש"ה חל שבוע' עליה ומדקאמר כיון </w:t>
      </w:r>
      <w:r w:rsidRPr="00B54871">
        <w:rPr>
          <w:rtl/>
        </w:rPr>
        <w:lastRenderedPageBreak/>
        <w:t>דאי בעי פטר נפשיה בק"ש שחרית וערבית ש"מ דובשכבך ובקומך לאו בד"ת כתיב אלא בק"ש איירי וק"ש דאוריית' וכיון דרב ס"ל כר"א דק"ש דאוריית' ה"ל שמואל יחידאה לגבי'. ועוד דקי"ל הלכת' כרב לגבי שמואל באיסורי</w:t>
      </w:r>
      <w:r w:rsidR="00A32369">
        <w:rPr>
          <w:rFonts w:hint="cs"/>
          <w:rtl/>
          <w:lang w:bidi="he-IL"/>
        </w:rPr>
        <w:t xml:space="preserve"> </w:t>
      </w:r>
      <w:r w:rsidRPr="00B54871">
        <w:rPr>
          <w:rtl/>
        </w:rPr>
        <w:t>.</w:t>
      </w:r>
      <w:r w:rsidR="00A32369">
        <w:rPr>
          <w:rFonts w:hint="cs"/>
          <w:rtl/>
          <w:lang w:bidi="he-IL"/>
        </w:rPr>
        <w:t>.</w:t>
      </w:r>
      <w:r w:rsidRPr="00B54871">
        <w:rPr>
          <w:rtl/>
        </w:rPr>
        <w:t>. אלא ה"פ דלשמואל ובשכבך ובקומך בד"ת כ' וכמו שלמ"ד ק"ש דאוריי' א"צ לקרות ק"ש רק פעם א' בזמן שכיב' ופעם א' בזמן קימה ובהכי סגי וא"צ לקרות כ"ז שכיבה וכ"ז קימה אלא בפעם אחת לחוד סגי. ה"ה נמי לשמואל דס"ל בד"ת כתיב ההוא קרא דובשכבך ובקומך היינו שחייב לקרות בזמן שכיבה וקימה ד"ת איזה דבר מה"ת שירצה ופעם אחת סגי רק שיקרא בזמן שכיבה וקימה בשעה שדרך ב"א שוכבין ובשעה שדרך ב"א עומדין כדברי ב"ה אלא שלמ"ד ק"ש דאוריית' צריך לקרות דוקא פ' ק"ש מה"ת בזמן שכיבה וקימה ולא סגי בשאר ד"ת ולשמואל לא ייחד הכתוב דובשכבך ובקומך לקרות פרש' ק"ש דוקא אלא בשאר ד"ת נמי סגי דוהיו הדברים האלה כו' ודברת בם בשבתך בביתך ובלכתך בדרך ובשכבך ובקומך דכתיב בקרא לאו אפ' שמע דוקא קיימ' אלא אד"ת קאי והרי בפ' שני' דוהיה אם שמוע נמי כתיב לדבר בם ולאו אההיא פ' לחוד קאי דפר' שני' לכ"ע לאו דאוריי' כמ"ש לקמן בס"ד. והאי לדבר בם דפ</w:t>
      </w:r>
      <w:r w:rsidR="0042310A">
        <w:rPr>
          <w:rFonts w:hint="cs"/>
          <w:rtl/>
          <w:lang w:bidi="he-IL"/>
        </w:rPr>
        <w:t>רשה</w:t>
      </w:r>
      <w:r w:rsidRPr="00B54871">
        <w:rPr>
          <w:rtl/>
        </w:rPr>
        <w:t xml:space="preserve"> שני' מפרש בגמ' ר"פ היה קורא (די"ג) דבדברי תורה כתיב וה"ק רחמנ' אגמירו בנייכו תורה כי היכי דליגרסו בהו וה"נ ס"ל לשמואל דודברת בם בשכבך ובקומך דפ' ראשונה אד"ת קאי שמחויב לקרות בזמן שכיבה וקימה איזה דבר מה"ת ובפעם א' שקר' סגי כמו בק"ש לר"א אלא שתקנת חכמים שייחדו דווקא פ' ק"ש לקרותה בזמן שכיבה וקימה. נמצא דלשמואל נמי בקריא' פ' ק"ש מקיים מ"ע של תורה כמו לר"א אלא דלדידיה בשאר פ' של תורה נמי מקיים מצוה עשה זו מה"ת וחייב לקרותה בזמן שכיבה וקימה דווקא בזמני' שקבעה תורה. ולפ"ז הא דרב בנדרי' לא פליג אהא דשמואל דוודאי לשמואל נמי הוה מצי לפטורי נפשי' מחיובי דובשכבך ובקומך בקריא' איזה פ' שחרית וערבית בזמן שכיבה וקימה. ולא נקט הש"ס שם בנדרי' כיון דאי בעי פטר נפשי' בק"ש שחרית וערבית אלא לבתר דתקינו רבנן לקרות דוקא פ' שמע לצאת ידי חובת מצות בשכבך ובקומך ואורח' דמילת' נקט דכל אדם מוציא את עצמו ידי חובתו ממצות בשכבך ובקומך כפי תיקון חכמים שתקנו לצאת ידי חיוב מצוה באמירת ק"ש דוקא: </w:t>
      </w:r>
    </w:p>
    <w:p w14:paraId="7CED6B1F" w14:textId="55697E99" w:rsidR="00BE7B1D" w:rsidRDefault="00BE7B1D" w:rsidP="00BE7B1D">
      <w:pPr>
        <w:jc w:val="right"/>
        <w:rPr>
          <w:rtl/>
        </w:rPr>
      </w:pPr>
      <w:r w:rsidRPr="00B54871">
        <w:rPr>
          <w:rtl/>
        </w:rPr>
        <w:t>וראיה ברורה לדברי שהרי מקשה הש"ס שם אהא דשמואל תנן בעל קרי מהרהר בלבו ואינו מברך לא לפניה ולא לאחריה ועל המזון מברך לאחריו ואינו מברך לפניו ואס"ד אמת ויציב דאוריית' ליברוך לאחריה ומשני מ"ט מברך אי משום יציאת מצרים הא אדכר ליה בק"ש ונימ' הא ולא ליבעי הא ק"ש עדיפ' דאית בה תרתי. ויש להקשות אמאי מקשה אסיפ' דמילת' דשמואל ואס"ד אמת ויציב דאורייתא ליברוך לאחריה ולא מקשה נמי ארישא דמילתא דשמואל מרישא דמתני' ואס"ד ק"ש דרבנן אמאי מהרהר ק"ש בלבו מ"ש ק"ש מברכותיה ובה"מ דלפניו דתנן התם דאין מברך. ואי משום דבק"ש אית בה עול מ"ש ומש"ה אף על גב דמדרבנן היא מהרהר בלבו הא אכתי לא אסיק אדעתיה האי טעמ' שהרי פריך לבתר הכי ונימא הא ולא ליבעי הא ומשני ק"ש עדיפ' דאית בה תרתי כלומר קבלת עול מלכות שמים והזכרת י"מ. אלא ע"כ לשמואל נמי דאוריי' לקרות איזה דבר מד"ת בזמן שכיב' וקימ' אלא דס"ל דמצותו של תורה לאו דוקא לקרות פ' זו של שמע אלא ה"ה אם קרא איזה דבר מד"ת בזמנים הללו יוצא ידי חובת ובשכבך ובקומך דאמר רחמנא. מש"ה לא קשי' ליה אמאי מהרהר ק"ש בלבו דהא מדאוריי' מחויב לקרות בד"ת אפי' לשמואל ולא קא קשיא ליה אלא אהא דאמר שמואל אמת ויציב דאוריית' אמאי אינו מברך לאחריה ולבתר דמשני ליה מ"ט מברך אי משום יציאת מצרים הא אידכר ליה בק"ש פריך ונימא הא ולא ליבעי הא וכיון דבאמת אמת ויציב יצא ידי חובת הזכרת י"מ וגם יצא ידי חובת מצו' ובשכבך ובקומך לשמואל דס"ל דבקריאת איזה דבר מד"ת יצא ידי חובת מצוה זו וסגי ליה בהכי. ולאו דוקא אק"ש קא קפיד רחמנ'. א"כ נימא הא אמת ויציב דגם הא מד"ת הוא שמוזכר בה י"מ וקריעת י"ס ומשירה שאמרו ישראל על הים ואין לך ד"ת יותר גדול מזה ויוצאין ידי חובת ד"ת שמצותו מה"ת לשמואל וגם יצא ידי חובת הזכרת יצ"מ. ומשני ק"ש עדיף דאית בה תרתי הני תרתי דאמרן היינו ד"ת ומקיים בה מ"ע דובשכבך ובקומך והזכרת י"מ ועדיפותא דידה משום דאית בה נמי קבלת עול מלכות שמים</w:t>
      </w:r>
      <w:r>
        <w:rPr>
          <w:rFonts w:hint="cs"/>
          <w:rtl/>
        </w:rPr>
        <w:t>...</w:t>
      </w:r>
      <w:r w:rsidRPr="00B54871">
        <w:rPr>
          <w:rtl/>
        </w:rPr>
        <w:t xml:space="preserve"> והא דא</w:t>
      </w:r>
      <w:r>
        <w:rPr>
          <w:rFonts w:hint="cs"/>
          <w:rtl/>
        </w:rPr>
        <w:t xml:space="preserve">מר </w:t>
      </w:r>
      <w:r w:rsidRPr="00B54871">
        <w:rPr>
          <w:rtl/>
        </w:rPr>
        <w:t>ר</w:t>
      </w:r>
      <w:r>
        <w:rPr>
          <w:rFonts w:hint="cs"/>
          <w:rtl/>
        </w:rPr>
        <w:t xml:space="preserve">' יהודה אמר </w:t>
      </w:r>
      <w:r w:rsidRPr="00B54871">
        <w:rPr>
          <w:rtl/>
        </w:rPr>
        <w:t>ש</w:t>
      </w:r>
      <w:r>
        <w:rPr>
          <w:rFonts w:hint="cs"/>
          <w:rtl/>
        </w:rPr>
        <w:t>מואל</w:t>
      </w:r>
      <w:r w:rsidRPr="00B54871">
        <w:rPr>
          <w:rtl/>
        </w:rPr>
        <w:t xml:space="preserve"> ספק קרא ק"ש ספק לא קרא אינו חוזר וקורא מ"ט ק"ש דרבנן היינו דוקא היכא דקרא כבר איזה דבר מד"ת דיוצא ידי חובתו בזה מדאוריי' אבל לא קרא עדיין איזה דבר מד"ת חייב לקרות ק"ש דוקא ואין לסמוך על שיקרא איזה דבר מד"ת דק"ש עדיף דאית בה תרתי כדקאמר הש"ס לגבי בעל קרי</w:t>
      </w:r>
      <w:r>
        <w:rPr>
          <w:rFonts w:hint="cs"/>
          <w:rtl/>
        </w:rPr>
        <w:t xml:space="preserve">... </w:t>
      </w:r>
      <w:r w:rsidRPr="00B54871">
        <w:rPr>
          <w:rtl/>
        </w:rPr>
        <w:t xml:space="preserve">אחר שכתבתי את כל זה מצאתי לתלמידי רבינו יונה שכתבו בפ' מי שמתו אהא דשמואל דספק קרא ק"ש שאינו חוזר וקורא משום דק"ש דרבנן אף על פי שכתוב בתורה ובשכבך ובקומך ס"ל לשמואל שלא אמרה תורה דוקא ק"ש אלא שיקרא בתורה בכ"מ שירצה ומה שאנו קורין זאת הפ' דוקא אינה אלא מדרבנן ולפיכך ס"ל אינו חוזר וקור' ע"כ וזה נוטה למאי שפירשתי ודרך סלולה היא. </w:t>
      </w:r>
    </w:p>
    <w:p w14:paraId="59CE8E0E" w14:textId="77777777" w:rsidR="00A32369" w:rsidRDefault="00A32369" w:rsidP="00BE7B1D">
      <w:pPr>
        <w:jc w:val="right"/>
        <w:rPr>
          <w:rtl/>
        </w:rPr>
      </w:pPr>
    </w:p>
    <w:p w14:paraId="4421DBD1" w14:textId="77777777" w:rsidR="00736381" w:rsidRDefault="00D46468" w:rsidP="009D7DF9">
      <w:pPr>
        <w:jc w:val="right"/>
        <w:rPr>
          <w:b/>
          <w:bCs/>
          <w:rtl/>
          <w:lang w:bidi="he-IL"/>
        </w:rPr>
      </w:pPr>
      <w:r w:rsidRPr="00D46468">
        <w:rPr>
          <w:b/>
          <w:bCs/>
          <w:rtl/>
          <w:lang w:bidi="he-IL"/>
        </w:rPr>
        <w:lastRenderedPageBreak/>
        <w:t>קרן אורה מסכת ברכות דף ג עמוד א</w:t>
      </w:r>
    </w:p>
    <w:p w14:paraId="2B34D0AF" w14:textId="771D00E7" w:rsidR="00736381" w:rsidRPr="00736381" w:rsidRDefault="00736381" w:rsidP="00736381">
      <w:pPr>
        <w:jc w:val="right"/>
        <w:rPr>
          <w:u w:val="single"/>
          <w:rtl/>
          <w:lang w:bidi="he-IL"/>
        </w:rPr>
      </w:pPr>
      <w:r w:rsidRPr="00736381">
        <w:rPr>
          <w:rFonts w:hint="cs"/>
          <w:u w:val="single"/>
          <w:rtl/>
          <w:lang w:bidi="he-IL"/>
        </w:rPr>
        <w:t>אות א'</w:t>
      </w:r>
    </w:p>
    <w:p w14:paraId="24368B83" w14:textId="77777777" w:rsidR="00736381" w:rsidRPr="00736381" w:rsidRDefault="00736381" w:rsidP="00736381">
      <w:pPr>
        <w:ind w:left="-180"/>
        <w:jc w:val="right"/>
        <w:rPr>
          <w:rtl/>
          <w:lang w:bidi="he-IL"/>
        </w:rPr>
      </w:pPr>
      <w:r w:rsidRPr="00736381">
        <w:rPr>
          <w:rtl/>
          <w:lang w:bidi="he-IL"/>
        </w:rPr>
        <w:t>הנה לקמן בפרק מי שמתו (דף כא א) אמר רב יהודה דקריאת שמע דרבנן וקרא דבשכבך ובקומך בדברי תורה כתיב וכבר הקשו התוס' בסוטה ע"ז (דף לב: ד"ה ורבי) מכמה משניות ע"ש. ועוד יש להקשות מהא דפשיטא לן (ברכות י"א ע"א) דעוסק במצוה פטור מן המצוה מדרשא דבשבתך ובלכתך, ואי בד"ת כתיב אם כן אין להוכיח בעוסק במצוה דפטור מן המצוה, רק דפטור מלעסוק בתורה, ולזה אין צורך ללמוד מן המקרא, דהא מפסיקין לקריאת שמע (שבת י"א ע"א), וכבר עמדו ע"ז הפני יהושע (דף כא א) והשאגת אריה ז"ל (סימן א') והעלה השאגת אריה ז"ל כמש"כ התר"י על הא דר"י, דבשכבך ובקומך בד"ת כתיב, היינו שאין החיוב דווקא בפרשת שמע, אלא החיוב הוא בכל בוקר וערב ללמוד דבר מן התורה, וחכמים תיקנו פרשת שמע, ומה שאינו חוזר וקורא בספק אם קרא כתב השאגת אריה דאמת ויציב הוי כלימוד, ע"ש באריכות. וגם ע"ז קשיא טובא, חדא דאכתי תיקשי דמאי מוכח מזה לעוסק במצוה, כיון דעיקר החיוב הוא ללמוד איזה דבר הוי בכלל תלמוד תורה, דמעשה עדיף. ועוד במאי יוצא ידי חובתו בזה, אי דוקא תורה שבכתב או אפילו תורה שבע"פ, ולפי הנראה יוצא אפילו בתורה שבע"פ דהא לחובת לימוד הוא, וא"כ מאי פליגי רבי ורבנן (להלן י"ג ע"א) בקריאת שמע אי ככתבה או בכל לשון, הלא חובת לימוד ודאי יוצא בזה, ובאיזה לשון שירצה ומה ענין דרשת שמע לכאן, ומה שייך בזה למיתלי כל התורה אי בכל לשון נאמרה או בלשון הקודש, ובלאו הכי מהיכי תיתי למימר דבעינן דוקא לשון הקודש כיון שהוא לחובת לימוד.</w:t>
      </w:r>
    </w:p>
    <w:p w14:paraId="1F2F8C34" w14:textId="4B5DEEF3" w:rsidR="00D46468" w:rsidRPr="00D46468" w:rsidRDefault="00736381" w:rsidP="00736381">
      <w:pPr>
        <w:jc w:val="right"/>
        <w:rPr>
          <w:u w:val="single"/>
          <w:rtl/>
          <w:lang w:bidi="he-IL"/>
        </w:rPr>
      </w:pPr>
      <w:r w:rsidRPr="00736381">
        <w:rPr>
          <w:rFonts w:hint="cs"/>
          <w:u w:val="single"/>
          <w:rtl/>
          <w:lang w:bidi="he-IL"/>
        </w:rPr>
        <w:t xml:space="preserve">אות </w:t>
      </w:r>
      <w:r>
        <w:rPr>
          <w:rFonts w:hint="cs"/>
          <w:u w:val="single"/>
          <w:rtl/>
          <w:lang w:bidi="he-IL"/>
        </w:rPr>
        <w:t>ד</w:t>
      </w:r>
      <w:r w:rsidRPr="00736381">
        <w:rPr>
          <w:rFonts w:hint="cs"/>
          <w:u w:val="single"/>
          <w:rtl/>
          <w:lang w:bidi="he-IL"/>
        </w:rPr>
        <w:t>'</w:t>
      </w:r>
      <w:r w:rsidR="00D46468" w:rsidRPr="00D46468">
        <w:t xml:space="preserve"> </w:t>
      </w:r>
    </w:p>
    <w:p w14:paraId="7E2279E8" w14:textId="77777777" w:rsidR="00D46468" w:rsidRDefault="00D46468" w:rsidP="00D46468">
      <w:pPr>
        <w:jc w:val="right"/>
        <w:rPr>
          <w:rtl/>
          <w:lang w:bidi="he-IL"/>
        </w:rPr>
      </w:pPr>
      <w:r w:rsidRPr="00D46468">
        <w:rPr>
          <w:rtl/>
          <w:lang w:bidi="he-IL"/>
        </w:rPr>
        <w:t>ולפום ריהטא יש להביא קצת ראיה לדברי התר"י והשאגת אריה ז"ל מהא דאמר ר' יהודה אמר שמואל (דף יא ב) משקרא קריאת שמע אין צריך לברך ברכת התורה, שכבר נפטר באהבה רבה, ולפי דבריהם ז"ל אתי שפיר טובא, כיון דקריאת שמע נמי מחמת חובת לימוד באה ע"כ נפטר כל היום בברכתה, אבל באמת זה אינו, דא"כ תיקשי דאמאי פסקינן כרב יהודה בהא, דילמא ר"י אזיל לטעמיה דקריאת שמע מחמת חיוב תלמוד תורה באה, אבל לדידן דקריאת שמע חיוב בפני עצמו הוא מנ"ל דיוצא באהבה רבה. ועוד מהא דכתבו הראשונים ז"ל (ע' בב"י סי' מ"ז ס"ז) על דברי הירושלמי (ברכות פ"א ה"ה) והוא ששנה על אתר לחלק בין אהבה רבה לברכת התורה, דדוקא באהבה רבה בעינן על אתר, משום דאהבה רבה לא נתקנה אלא בשביל קריאת שמע, ואי כדבריהם ז"ל אדרבה אליבא דרב יהודה הרי נתקנה בשביל התורה.</w:t>
      </w:r>
    </w:p>
    <w:p w14:paraId="0C13268C" w14:textId="477F5446" w:rsidR="009D7DF9" w:rsidRPr="009D7DF9" w:rsidRDefault="009D7DF9" w:rsidP="009D7DF9">
      <w:pPr>
        <w:jc w:val="right"/>
        <w:rPr>
          <w:rtl/>
          <w:lang w:bidi="he-IL"/>
        </w:rPr>
      </w:pPr>
      <w:r w:rsidRPr="009D7DF9">
        <w:rPr>
          <w:b/>
          <w:bCs/>
          <w:rtl/>
          <w:lang w:bidi="he-IL"/>
        </w:rPr>
        <w:t>חתם סופר מסכת נדרים דף פא עמוד א</w:t>
      </w:r>
      <w:r w:rsidRPr="009D7DF9">
        <w:rPr>
          <w:lang w:bidi="he-IL"/>
        </w:rPr>
        <w:t xml:space="preserve"> </w:t>
      </w:r>
    </w:p>
    <w:p w14:paraId="55BA7823" w14:textId="7DE92E4F" w:rsidR="009D7DF9" w:rsidRPr="009D7DF9" w:rsidRDefault="009D7DF9" w:rsidP="00FF6F8E">
      <w:pPr>
        <w:ind w:left="-180"/>
        <w:jc w:val="right"/>
        <w:rPr>
          <w:rtl/>
          <w:lang w:bidi="he-IL"/>
        </w:rPr>
      </w:pPr>
      <w:r w:rsidRPr="009D7DF9">
        <w:rPr>
          <w:rtl/>
          <w:lang w:bidi="he-IL"/>
        </w:rPr>
        <w:t xml:space="preserve">שלא ברכו בתורה תחלה </w:t>
      </w:r>
      <w:r w:rsidR="00FF6F8E">
        <w:rPr>
          <w:rFonts w:hint="cs"/>
          <w:rtl/>
          <w:lang w:bidi="he-IL"/>
        </w:rPr>
        <w:t>...</w:t>
      </w:r>
      <w:r w:rsidRPr="009D7DF9">
        <w:rPr>
          <w:rtl/>
          <w:lang w:bidi="he-IL"/>
        </w:rPr>
        <w:t xml:space="preserve"> וע"פ דברי רבינו יונה שבר"ן כאן יש לפרש כפשוטו כשנדקדק תחלה לשון תורה לשמה מהו לשון לשמה ולא אמר לשם שמים, אלא יש תורה לשם שמים ממש אך אין כוונתו אלא כדי לקיים המצות ולידע ההלכה איך יעשה המעשה. וכיון שכל עצמו של אותו העסק איננו אלא לקיים המצוה איננו עדיף מקיום המצוה גופיה דבעידנא דלא עסיק בה לא מגינא ולא מצלי, אך עיקר מצות עסק התורה הוא מצוה בפ"ע להגות בה יומם ולילה ולהעמיק ולעיין בכל תוצאותיה ומובאיה כי עמקו מחשבותיה ואם בחקתי תלכו שתהיו עמלים בתורה לא לבד לידע המצוה בשעה שצריך לה אלא דרוש וקבל שכר היינו הדרשה עצמה היא השכר ונחת רוח לפני הקדוש ברוך הוא וזהו עוסק לשמה של תורה לא על כונה אחרת והיא המגינה ומצלי ואז בשעת החורבן לא עסקו ע"ז האופן והמחשבה הלז גילה להם הקדוש ברוך הוא היודע מחשבות ולא חכמים ונביאים. אך במה יודע איפה זאת אמר רב יהודה אמר רב שלא ברכו בתורה תחלה ומסקינן בפ' התכלת כל מצוה שעשייתה גמר מצותה מברכים עליה ושאין עשייתה גמר מצותה אין מברכים עליה, והשתא אי כל כונת עסק התורה אינה אלא לעשות המצות א"כ אין למודה ועסקה גמר מצותה אין מברכים עליה, אבל המברך עליה מודה שכוונתו שמלבד קיום המצות עוד העסק בעצמו מצוה:</w:t>
      </w:r>
    </w:p>
    <w:p w14:paraId="7E4A4A85" w14:textId="77777777" w:rsidR="009D7DF9" w:rsidRPr="00D46468" w:rsidRDefault="009D7DF9" w:rsidP="00D46468">
      <w:pPr>
        <w:jc w:val="right"/>
        <w:rPr>
          <w:rtl/>
          <w:lang w:bidi="he-IL"/>
        </w:rPr>
      </w:pPr>
    </w:p>
    <w:p w14:paraId="2D866074" w14:textId="77777777" w:rsidR="00D46468" w:rsidRDefault="00D46468" w:rsidP="00BE7B1D">
      <w:pPr>
        <w:jc w:val="right"/>
        <w:rPr>
          <w:lang w:bidi="he-IL"/>
        </w:rPr>
      </w:pPr>
    </w:p>
    <w:p w14:paraId="465FAC36" w14:textId="77777777" w:rsidR="00525C9E" w:rsidRDefault="00525C9E" w:rsidP="00BE7B1D">
      <w:pPr>
        <w:jc w:val="right"/>
      </w:pPr>
    </w:p>
    <w:sectPr w:rsidR="00525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DDF1" w14:textId="77777777" w:rsidR="001F5C28" w:rsidRDefault="001F5C28" w:rsidP="00BE7B1D">
      <w:pPr>
        <w:spacing w:after="0" w:line="240" w:lineRule="auto"/>
      </w:pPr>
      <w:r>
        <w:separator/>
      </w:r>
    </w:p>
  </w:endnote>
  <w:endnote w:type="continuationSeparator" w:id="0">
    <w:p w14:paraId="65C1EDD0" w14:textId="77777777" w:rsidR="001F5C28" w:rsidRDefault="001F5C28" w:rsidP="00BE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77965"/>
      <w:docPartObj>
        <w:docPartGallery w:val="Page Numbers (Bottom of Page)"/>
        <w:docPartUnique/>
      </w:docPartObj>
    </w:sdtPr>
    <w:sdtEndPr>
      <w:rPr>
        <w:noProof/>
        <w:sz w:val="16"/>
        <w:szCs w:val="16"/>
      </w:rPr>
    </w:sdtEndPr>
    <w:sdtContent>
      <w:p w14:paraId="6CA5305B" w14:textId="759AF6D0" w:rsidR="00ED3A32" w:rsidRPr="00ED3A32" w:rsidRDefault="00ED3A32">
        <w:pPr>
          <w:pStyle w:val="Footer"/>
          <w:jc w:val="center"/>
          <w:rPr>
            <w:sz w:val="16"/>
            <w:szCs w:val="16"/>
          </w:rPr>
        </w:pPr>
        <w:r w:rsidRPr="00ED3A32">
          <w:rPr>
            <w:sz w:val="16"/>
            <w:szCs w:val="16"/>
          </w:rPr>
          <w:fldChar w:fldCharType="begin"/>
        </w:r>
        <w:r w:rsidRPr="00ED3A32">
          <w:rPr>
            <w:sz w:val="16"/>
            <w:szCs w:val="16"/>
          </w:rPr>
          <w:instrText xml:space="preserve"> PAGE   \* MERGEFORMAT </w:instrText>
        </w:r>
        <w:r w:rsidRPr="00ED3A32">
          <w:rPr>
            <w:sz w:val="16"/>
            <w:szCs w:val="16"/>
          </w:rPr>
          <w:fldChar w:fldCharType="separate"/>
        </w:r>
        <w:r w:rsidRPr="00ED3A32">
          <w:rPr>
            <w:noProof/>
            <w:sz w:val="16"/>
            <w:szCs w:val="16"/>
          </w:rPr>
          <w:t>2</w:t>
        </w:r>
        <w:r w:rsidRPr="00ED3A32">
          <w:rPr>
            <w:noProof/>
            <w:sz w:val="16"/>
            <w:szCs w:val="16"/>
          </w:rPr>
          <w:fldChar w:fldCharType="end"/>
        </w:r>
      </w:p>
    </w:sdtContent>
  </w:sdt>
  <w:p w14:paraId="7FF1239A" w14:textId="77777777" w:rsidR="00ED3A32" w:rsidRDefault="00ED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963C" w14:textId="77777777" w:rsidR="001F5C28" w:rsidRDefault="001F5C28" w:rsidP="00BE7B1D">
      <w:pPr>
        <w:spacing w:after="0" w:line="240" w:lineRule="auto"/>
      </w:pPr>
      <w:r>
        <w:separator/>
      </w:r>
    </w:p>
  </w:footnote>
  <w:footnote w:type="continuationSeparator" w:id="0">
    <w:p w14:paraId="36F3B402" w14:textId="77777777" w:rsidR="001F5C28" w:rsidRDefault="001F5C28" w:rsidP="00BE7B1D">
      <w:pPr>
        <w:spacing w:after="0" w:line="240" w:lineRule="auto"/>
      </w:pPr>
      <w:r>
        <w:continuationSeparator/>
      </w:r>
    </w:p>
  </w:footnote>
  <w:footnote w:id="1">
    <w:p w14:paraId="7354C6EE" w14:textId="718F3409" w:rsidR="00BE7B1D" w:rsidRPr="00BE7B1D" w:rsidRDefault="00BE7B1D" w:rsidP="00501992">
      <w:pPr>
        <w:pStyle w:val="FootnoteText"/>
        <w:ind w:right="-270"/>
        <w:rPr>
          <w:sz w:val="16"/>
          <w:szCs w:val="16"/>
          <w:lang w:bidi="he-IL"/>
        </w:rPr>
      </w:pPr>
      <w:r w:rsidRPr="00BE7B1D">
        <w:rPr>
          <w:rStyle w:val="FootnoteReference"/>
          <w:sz w:val="16"/>
          <w:szCs w:val="16"/>
        </w:rPr>
        <w:footnoteRef/>
      </w:r>
      <w:r w:rsidRPr="00BE7B1D">
        <w:rPr>
          <w:sz w:val="16"/>
          <w:szCs w:val="16"/>
        </w:rPr>
        <w:t xml:space="preserve"> </w:t>
      </w:r>
      <w:r w:rsidRPr="00BE7B1D">
        <w:rPr>
          <w:sz w:val="16"/>
          <w:szCs w:val="16"/>
          <w:lang w:bidi="he-IL"/>
        </w:rPr>
        <w:t>See below.</w:t>
      </w:r>
      <w:r>
        <w:rPr>
          <w:sz w:val="16"/>
          <w:szCs w:val="16"/>
          <w:lang w:bidi="he-IL"/>
        </w:rPr>
        <w:t xml:space="preserve">  If you find the piece too long (due to time </w:t>
      </w:r>
      <w:r w:rsidR="00501992">
        <w:rPr>
          <w:sz w:val="16"/>
          <w:szCs w:val="16"/>
          <w:lang w:bidi="he-IL"/>
        </w:rPr>
        <w:t xml:space="preserve">constraints and/or </w:t>
      </w:r>
      <w:r w:rsidR="009D7DF9">
        <w:rPr>
          <w:sz w:val="16"/>
          <w:szCs w:val="16"/>
          <w:lang w:bidi="he-IL"/>
        </w:rPr>
        <w:t>due to difficulty</w:t>
      </w:r>
      <w:r w:rsidR="00501992">
        <w:rPr>
          <w:sz w:val="16"/>
          <w:szCs w:val="16"/>
          <w:lang w:bidi="he-IL"/>
        </w:rPr>
        <w:t>), please see me and I’ll point out the main lines.</w:t>
      </w:r>
    </w:p>
  </w:footnote>
  <w:footnote w:id="2">
    <w:p w14:paraId="2D7AA720" w14:textId="60D151AF" w:rsidR="00D46468" w:rsidRPr="00D46468" w:rsidRDefault="00D46468">
      <w:pPr>
        <w:pStyle w:val="FootnoteText"/>
        <w:rPr>
          <w:sz w:val="16"/>
          <w:szCs w:val="16"/>
          <w:lang w:bidi="he-IL"/>
        </w:rPr>
      </w:pPr>
      <w:r w:rsidRPr="00D46468">
        <w:rPr>
          <w:rStyle w:val="FootnoteReference"/>
          <w:sz w:val="16"/>
          <w:szCs w:val="16"/>
        </w:rPr>
        <w:footnoteRef/>
      </w:r>
      <w:r w:rsidRPr="00D46468">
        <w:rPr>
          <w:sz w:val="16"/>
          <w:szCs w:val="16"/>
        </w:rPr>
        <w:t xml:space="preserve"> </w:t>
      </w:r>
      <w:r w:rsidRPr="00D46468">
        <w:rPr>
          <w:sz w:val="16"/>
          <w:szCs w:val="16"/>
          <w:lang w:bidi="he-IL"/>
        </w:rPr>
        <w:t xml:space="preserve">See </w:t>
      </w:r>
      <w:proofErr w:type="gramStart"/>
      <w:r w:rsidRPr="00D46468">
        <w:rPr>
          <w:sz w:val="16"/>
          <w:szCs w:val="16"/>
          <w:lang w:bidi="he-IL"/>
        </w:rPr>
        <w:t>below</w:t>
      </w:r>
      <w:proofErr w:type="gramEnd"/>
      <w:r w:rsidRPr="00D46468">
        <w:rPr>
          <w:sz w:val="16"/>
          <w:szCs w:val="16"/>
          <w:lang w:bidi="he-IL"/>
        </w:rPr>
        <w:t xml:space="preserve"> </w:t>
      </w:r>
    </w:p>
  </w:footnote>
  <w:footnote w:id="3">
    <w:p w14:paraId="6E935783" w14:textId="01C62759" w:rsidR="009D7DF9" w:rsidRPr="009D7DF9" w:rsidRDefault="009D7DF9">
      <w:pPr>
        <w:pStyle w:val="FootnoteText"/>
        <w:rPr>
          <w:sz w:val="16"/>
          <w:szCs w:val="16"/>
          <w:lang w:bidi="he-IL"/>
        </w:rPr>
      </w:pPr>
      <w:r w:rsidRPr="009D7DF9">
        <w:rPr>
          <w:rStyle w:val="FootnoteReference"/>
          <w:sz w:val="16"/>
          <w:szCs w:val="16"/>
        </w:rPr>
        <w:footnoteRef/>
      </w:r>
      <w:r w:rsidRPr="009D7DF9">
        <w:rPr>
          <w:sz w:val="16"/>
          <w:szCs w:val="16"/>
        </w:rPr>
        <w:t xml:space="preserve"> </w:t>
      </w:r>
      <w:r w:rsidRPr="009D7DF9">
        <w:rPr>
          <w:sz w:val="16"/>
          <w:szCs w:val="16"/>
          <w:lang w:bidi="he-IL"/>
        </w:rPr>
        <w:t xml:space="preserve">See </w:t>
      </w:r>
      <w:proofErr w:type="gramStart"/>
      <w:r w:rsidRPr="009D7DF9">
        <w:rPr>
          <w:sz w:val="16"/>
          <w:szCs w:val="16"/>
          <w:lang w:bidi="he-IL"/>
        </w:rPr>
        <w:t>below</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667"/>
    <w:rsid w:val="001F5C28"/>
    <w:rsid w:val="0042310A"/>
    <w:rsid w:val="00501992"/>
    <w:rsid w:val="00525C9E"/>
    <w:rsid w:val="00736381"/>
    <w:rsid w:val="009D7DF9"/>
    <w:rsid w:val="00A02667"/>
    <w:rsid w:val="00A32369"/>
    <w:rsid w:val="00BD2344"/>
    <w:rsid w:val="00BE7B1D"/>
    <w:rsid w:val="00BF1663"/>
    <w:rsid w:val="00CF7C54"/>
    <w:rsid w:val="00D46468"/>
    <w:rsid w:val="00ED3A32"/>
    <w:rsid w:val="00F41736"/>
    <w:rsid w:val="00F6282D"/>
    <w:rsid w:val="00FF6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A460"/>
  <w15:chartTrackingRefBased/>
  <w15:docId w15:val="{68F6E231-22BA-43ED-B474-B89D0CDB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67"/>
    <w:rPr>
      <w:kern w:val="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B1D"/>
    <w:rPr>
      <w:kern w:val="0"/>
      <w:sz w:val="20"/>
      <w:szCs w:val="20"/>
      <w:lang w:bidi="ar-SA"/>
    </w:rPr>
  </w:style>
  <w:style w:type="character" w:styleId="FootnoteReference">
    <w:name w:val="footnote reference"/>
    <w:basedOn w:val="DefaultParagraphFont"/>
    <w:uiPriority w:val="99"/>
    <w:semiHidden/>
    <w:unhideWhenUsed/>
    <w:rsid w:val="00BE7B1D"/>
    <w:rPr>
      <w:vertAlign w:val="superscript"/>
    </w:rPr>
  </w:style>
  <w:style w:type="paragraph" w:styleId="Header">
    <w:name w:val="header"/>
    <w:basedOn w:val="Normal"/>
    <w:link w:val="HeaderChar"/>
    <w:uiPriority w:val="99"/>
    <w:unhideWhenUsed/>
    <w:rsid w:val="00ED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32"/>
    <w:rPr>
      <w:kern w:val="0"/>
      <w:lang w:bidi="ar-SA"/>
    </w:rPr>
  </w:style>
  <w:style w:type="paragraph" w:styleId="Footer">
    <w:name w:val="footer"/>
    <w:basedOn w:val="Normal"/>
    <w:link w:val="FooterChar"/>
    <w:uiPriority w:val="99"/>
    <w:unhideWhenUsed/>
    <w:rsid w:val="00ED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32"/>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2023-06-28T18:29:00Z</dcterms:created>
  <dcterms:modified xsi:type="dcterms:W3CDTF">2023-06-29T01:52:00Z</dcterms:modified>
</cp:coreProperties>
</file>