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D3" w:rsidRPr="00630D3D" w:rsidRDefault="00630D3D" w:rsidP="00630D3D">
      <w:pPr>
        <w:pStyle w:val="Title"/>
        <w:bidi/>
        <w:jc w:val="center"/>
        <w:rPr>
          <w:sz w:val="56"/>
          <w:szCs w:val="56"/>
          <w:rtl/>
        </w:rPr>
      </w:pPr>
      <w:r w:rsidRPr="00630D3D">
        <w:rPr>
          <w:sz w:val="56"/>
          <w:szCs w:val="56"/>
        </w:rPr>
        <w:t xml:space="preserve">BRS Summer </w:t>
      </w:r>
      <w:proofErr w:type="spellStart"/>
      <w:r w:rsidRPr="00630D3D">
        <w:rPr>
          <w:sz w:val="56"/>
          <w:szCs w:val="56"/>
        </w:rPr>
        <w:t>Kollel</w:t>
      </w:r>
      <w:proofErr w:type="spellEnd"/>
      <w:r w:rsidR="00F516F1">
        <w:rPr>
          <w:sz w:val="56"/>
          <w:szCs w:val="56"/>
        </w:rPr>
        <w:t xml:space="preserve"> / Week #5, </w:t>
      </w:r>
      <w:proofErr w:type="spellStart"/>
      <w:r w:rsidR="00F516F1">
        <w:rPr>
          <w:sz w:val="56"/>
          <w:szCs w:val="56"/>
        </w:rPr>
        <w:t>Shiur</w:t>
      </w:r>
      <w:proofErr w:type="spellEnd"/>
      <w:r w:rsidR="00F516F1">
        <w:rPr>
          <w:sz w:val="56"/>
          <w:szCs w:val="56"/>
        </w:rPr>
        <w:t xml:space="preserve"> #1</w:t>
      </w:r>
    </w:p>
    <w:p w:rsidR="00630D3D" w:rsidRPr="00630D3D" w:rsidRDefault="00630D3D" w:rsidP="00630D3D">
      <w:pPr>
        <w:pStyle w:val="Title"/>
        <w:bidi/>
        <w:jc w:val="center"/>
        <w:rPr>
          <w:sz w:val="56"/>
          <w:szCs w:val="56"/>
          <w:rtl/>
        </w:rPr>
      </w:pPr>
      <w:r w:rsidRPr="00630D3D">
        <w:rPr>
          <w:rFonts w:hint="cs"/>
          <w:sz w:val="56"/>
          <w:szCs w:val="56"/>
          <w:rtl/>
        </w:rPr>
        <w:t>כתותי מכתת שיעוריה</w:t>
      </w:r>
    </w:p>
    <w:p w:rsidR="00630D3D" w:rsidRPr="00630D3D" w:rsidRDefault="00630D3D" w:rsidP="00630D3D">
      <w:pPr>
        <w:bidi/>
        <w:jc w:val="both"/>
        <w:rPr>
          <w:rFonts w:cs="Arial"/>
          <w:sz w:val="24"/>
          <w:szCs w:val="24"/>
          <w:rtl/>
        </w:rPr>
        <w:sectPr w:rsidR="00630D3D" w:rsidRPr="00630D3D" w:rsidSect="00E407AA">
          <w:pgSz w:w="12240" w:h="15840"/>
          <w:pgMar w:top="1440" w:right="1440" w:bottom="1440" w:left="1440" w:header="720" w:footer="720" w:gutter="0"/>
          <w:cols w:space="720"/>
          <w:docGrid w:linePitch="360"/>
        </w:sectPr>
      </w:pPr>
    </w:p>
    <w:p w:rsidR="00630D3D" w:rsidRPr="00630D3D" w:rsidRDefault="00630D3D" w:rsidP="00630D3D">
      <w:pPr>
        <w:pStyle w:val="Heading1"/>
        <w:bidi/>
        <w:jc w:val="both"/>
        <w:rPr>
          <w:sz w:val="32"/>
          <w:szCs w:val="32"/>
        </w:rPr>
      </w:pPr>
      <w:r w:rsidRPr="00630D3D">
        <w:rPr>
          <w:sz w:val="32"/>
          <w:szCs w:val="32"/>
          <w:rtl/>
        </w:rPr>
        <w:lastRenderedPageBreak/>
        <w:t>חולין דף קמ עמוד א</w:t>
      </w:r>
    </w:p>
    <w:p w:rsidR="00BB523E" w:rsidRPr="00630D3D" w:rsidRDefault="00630D3D" w:rsidP="00630D3D">
      <w:pPr>
        <w:bidi/>
        <w:jc w:val="both"/>
        <w:rPr>
          <w:rFonts w:cs="Arial"/>
          <w:sz w:val="24"/>
          <w:szCs w:val="24"/>
        </w:rPr>
      </w:pPr>
      <w:r w:rsidRPr="00630D3D">
        <w:rPr>
          <w:rFonts w:cs="Arial"/>
          <w:sz w:val="24"/>
          <w:szCs w:val="24"/>
          <w:rtl/>
        </w:rPr>
        <w:t>ת"ש מסיפא: טהורות - מכלל דאיכא טמאות! לא, מכלל דאיכא טרפות; טרפות - מחיות נפקא! הניחא למאן דאמר טרפה חיה, אלא למ"ד טרפה אינה חיה מאי איכא למימר? ועוד, בין למ"ד טרפה חיה בין למ"ד אינה חיה, מדתנא דבי ר' ישמעאל נפקא, דתנא דבי רבי ישמעאל: נאמר מכשיר ומכפר בפנים, ונאמר מכשיר ומכפר בחוץ, מה מכשיר ומכפר האמור בפנים - עשה בו מכשיר כמכפר, אף מכשיר ומכפר האמור בחוץ - עשה בו מכשיר כמכפר! אלא אמר רב נחמן בר יצחק: למעוטי צפורי עיר הנדחת; למאי? אי לשילוח - לא אמרה תורה שלח לתקלה, אלא לשחיטה</w:t>
      </w:r>
    </w:p>
    <w:p w:rsidR="00630D3D" w:rsidRPr="00630D3D" w:rsidRDefault="00630D3D" w:rsidP="00630D3D">
      <w:pPr>
        <w:pStyle w:val="Heading1"/>
        <w:bidi/>
        <w:jc w:val="both"/>
        <w:rPr>
          <w:sz w:val="32"/>
          <w:szCs w:val="32"/>
          <w:rtl/>
        </w:rPr>
      </w:pPr>
      <w:r w:rsidRPr="00630D3D">
        <w:rPr>
          <w:rFonts w:hint="cs"/>
          <w:sz w:val="32"/>
          <w:szCs w:val="32"/>
          <w:rtl/>
        </w:rPr>
        <w:t>תוספות שם ד"ה</w:t>
      </w:r>
      <w:r w:rsidRPr="00630D3D">
        <w:rPr>
          <w:sz w:val="32"/>
          <w:szCs w:val="32"/>
          <w:rtl/>
        </w:rPr>
        <w:t xml:space="preserve">  למעוטי צפרי עיר הנדחת</w:t>
      </w:r>
    </w:p>
    <w:p w:rsidR="00630D3D" w:rsidRPr="00630D3D" w:rsidRDefault="00630D3D" w:rsidP="00630D3D">
      <w:pPr>
        <w:bidi/>
        <w:jc w:val="both"/>
        <w:rPr>
          <w:rFonts w:cs="Arial"/>
          <w:sz w:val="24"/>
          <w:szCs w:val="24"/>
          <w:rtl/>
        </w:rPr>
      </w:pPr>
      <w:r w:rsidRPr="00630D3D">
        <w:rPr>
          <w:rFonts w:cs="Arial"/>
          <w:sz w:val="24"/>
          <w:szCs w:val="24"/>
          <w:rtl/>
        </w:rPr>
        <w:t>תימה הא נמי נפקא מדתנא דבי רבי ישמעאל דכיון שאסורים בהנאה לא קרינן ביה ממשקה ישראל ואפשר דלא ממעטינן ממשקה ישראל אלא דומיא דערלה וכלאי הכרם שלא היה להם שעת הכושר כדאמר פ"ק דמנחות (דף ו.) והילכך אפילו לכפרה מותרות דאי משום הנאה מצות לאו ליהנות ניתנו וצ"ע בבהמת עיר הנדחת אם עבר והקדישה והקריבה אם הוא קרבן כשר כיון דלשרפה קיימא.</w:t>
      </w:r>
    </w:p>
    <w:p w:rsidR="00630D3D" w:rsidRPr="00630D3D" w:rsidRDefault="00630D3D" w:rsidP="00630D3D">
      <w:pPr>
        <w:pStyle w:val="Heading1"/>
        <w:bidi/>
        <w:jc w:val="both"/>
        <w:rPr>
          <w:sz w:val="32"/>
          <w:szCs w:val="32"/>
          <w:rtl/>
        </w:rPr>
      </w:pPr>
      <w:r w:rsidRPr="00630D3D">
        <w:rPr>
          <w:rFonts w:hint="cs"/>
          <w:sz w:val="32"/>
          <w:szCs w:val="32"/>
          <w:rtl/>
        </w:rPr>
        <w:t>מהרש"א שם</w:t>
      </w:r>
    </w:p>
    <w:p w:rsidR="00630D3D" w:rsidRPr="00630D3D" w:rsidRDefault="00630D3D" w:rsidP="00630D3D">
      <w:pPr>
        <w:bidi/>
        <w:jc w:val="both"/>
        <w:rPr>
          <w:rFonts w:cs="Arial"/>
          <w:sz w:val="24"/>
          <w:szCs w:val="24"/>
          <w:rtl/>
        </w:rPr>
      </w:pPr>
      <w:r w:rsidRPr="00630D3D">
        <w:rPr>
          <w:rFonts w:cs="Arial"/>
          <w:sz w:val="24"/>
          <w:szCs w:val="24"/>
          <w:rtl/>
        </w:rPr>
        <w:t xml:space="preserve">בד"ה למעוטי כו' וצ"ע בבהמת עיר הנדחת אם עבר והקדישה כו' עכ"ל פירוש בהקדישה קודם שנעשית עיר הנדחת לא חל עליה איסורא דעיר הנדחת כדאמרינן בפרק חלק שללה ולא שלל הקדש ולאחר שנעשית עיר הנדחת ודאי לכתחלה דאסור להקדישה ולהקריבה משום </w:t>
      </w:r>
      <w:r w:rsidRPr="00630D3D">
        <w:rPr>
          <w:rFonts w:cs="Arial"/>
          <w:sz w:val="24"/>
          <w:szCs w:val="24"/>
          <w:rtl/>
        </w:rPr>
        <w:lastRenderedPageBreak/>
        <w:t>דמאיס כדאמרינן בסוף פרק כסוי הדם גבי שופר של ע"ז אבל הא קשיא להו בעבר והקדישה והקריבה למה יהיה קרבן כשר כיון דלשריפה קיימא וכתותי מכתת שיעורא כדאמרינן ס"פ כסוי הדם דלא יצא בשופר של עבודת כוכבים דישראל מה"ט ודו"ק:</w:t>
      </w:r>
    </w:p>
    <w:p w:rsidR="00630D3D" w:rsidRPr="00630D3D" w:rsidRDefault="00630D3D" w:rsidP="00630D3D">
      <w:pPr>
        <w:bidi/>
        <w:jc w:val="both"/>
        <w:rPr>
          <w:rFonts w:cs="Arial"/>
          <w:sz w:val="24"/>
          <w:szCs w:val="24"/>
          <w:rtl/>
        </w:rPr>
      </w:pPr>
    </w:p>
    <w:p w:rsidR="00630D3D" w:rsidRPr="00630D3D" w:rsidRDefault="00630D3D" w:rsidP="00630D3D">
      <w:pPr>
        <w:pStyle w:val="Heading1"/>
        <w:bidi/>
        <w:jc w:val="both"/>
        <w:rPr>
          <w:sz w:val="32"/>
          <w:szCs w:val="32"/>
          <w:rtl/>
        </w:rPr>
      </w:pPr>
      <w:r w:rsidRPr="00630D3D">
        <w:rPr>
          <w:rFonts w:hint="cs"/>
          <w:sz w:val="32"/>
          <w:szCs w:val="32"/>
          <w:rtl/>
        </w:rPr>
        <w:t>צל"ח שם</w:t>
      </w:r>
    </w:p>
    <w:p w:rsidR="00630D3D" w:rsidRPr="00630D3D" w:rsidRDefault="00630D3D" w:rsidP="00630D3D">
      <w:pPr>
        <w:bidi/>
        <w:jc w:val="both"/>
        <w:rPr>
          <w:sz w:val="24"/>
          <w:szCs w:val="24"/>
        </w:rPr>
      </w:pPr>
      <w:r w:rsidRPr="00630D3D">
        <w:rPr>
          <w:rFonts w:cs="Arial"/>
          <w:sz w:val="24"/>
          <w:szCs w:val="24"/>
          <w:rtl/>
        </w:rPr>
        <w:t>שם תוספות ד"ה למעוטי צפורי עיר הנדחת וכו', בסוף הדיבור, וצ"ע בבהמת עיר הנדחת אם עבר והקדישה והקריבה אם הוא קרבן כשר כיון דלשרפה קיימא, עכ"ל. הנה מה שכתבו דלשרפה קיימא, לכאורה הלשון אינו מדוקדק, דה"ל למימר כיון דלהריגה קיימא דהא כתיב ואת בהמתה לפי חרב. ועיין במהרש"א שמפרש כוונת התוס' דכיון דלשרפה קיימא כתותי מכתת שעורא ע"ש, והוא תמוה שלא העיר בזה כלל לבאר מהיכן למדו רבותינו בעלי התוס' דבהמת עיר הנדחת הוא מן הנשרפין, ועיין בתוס' מסכת סוטה (דף כ"ה ע"ב) בד"ה לאו כגבוי דמי, כתבו דדבר שהוא אסור בהנאה כתותי מכתת שיעורא דהוה כעפרא בעלמא וליכא שיעורא אף דלא קיימא לשרפה, וא"כ גם בהמת עיר הנדחת אסור בהנאה. אמנם מתוס' במס' סוכה (דף ל"ה ע"א) בד"ה לפי שאין בו היתר אכילה, משמע דס"ל להתוס' דדוקא בדבר שמצותו בשרפה אמרינן כתותי מכתת שעורא, ע"ש.</w:t>
      </w:r>
    </w:p>
    <w:p w:rsidR="00630D3D" w:rsidRPr="00630D3D" w:rsidRDefault="00630D3D" w:rsidP="00630D3D">
      <w:pPr>
        <w:bidi/>
        <w:jc w:val="both"/>
        <w:rPr>
          <w:sz w:val="24"/>
          <w:szCs w:val="24"/>
        </w:rPr>
      </w:pPr>
    </w:p>
    <w:p w:rsidR="00630D3D" w:rsidRPr="00630D3D" w:rsidRDefault="00630D3D" w:rsidP="00630D3D">
      <w:pPr>
        <w:bidi/>
        <w:jc w:val="both"/>
        <w:rPr>
          <w:sz w:val="24"/>
          <w:szCs w:val="24"/>
        </w:rPr>
      </w:pPr>
      <w:r w:rsidRPr="00630D3D">
        <w:rPr>
          <w:rFonts w:cs="Arial"/>
          <w:sz w:val="24"/>
          <w:szCs w:val="24"/>
          <w:rtl/>
        </w:rPr>
        <w:t xml:space="preserve">ונלע"ד דס"ל לרבותינו בעלי התוספות דלאחר שהרגו כל בהמה אשר בתוך עיר הנדחת שוב חייב אח"כ לשרפה ולא אמרינן דלאחר הריגה כבר נעשה מצותה, דעדיין הנבילה היא בכלל שלל העיר שנאמר בה ואת כל שללה תקבוץ לתוך רחבה ושרפת באש את העיר ואת כל </w:t>
      </w:r>
      <w:r w:rsidRPr="00630D3D">
        <w:rPr>
          <w:rFonts w:cs="Arial"/>
          <w:sz w:val="24"/>
          <w:szCs w:val="24"/>
          <w:rtl/>
        </w:rPr>
        <w:lastRenderedPageBreak/>
        <w:t>שללה וגו'. ואין זה דומה לשער ראש של בני אדם דמסיק במסכת סנהדרין (דף קי"ב ע"א) דמותר הואיל ומחוסר תלישה, זה הוא בשער אדם שכל זמן שלא תלשו מראש אדם שבתוכו אינו בכלל שלל העיר, דהאדם וכל מה שמחובר לו בתולדה אינו נופל עליו שם שלל העיר, מה שאינו כן הבהמה אשר בתוך העיר הנדחת היא בכלל שלל העיר, ואף שהכתוב טעון הריגה לכל הבהמה אשר בתוכה, מ"מ אף אחר הריגה לא יצאה מכלל שם שלל העיר, דגם הנבילות הם שלל העיר כמו שאר מטלטלים וחפצים.</w:t>
      </w:r>
    </w:p>
    <w:p w:rsidR="00630D3D" w:rsidRPr="00630D3D" w:rsidRDefault="00630D3D" w:rsidP="00630D3D">
      <w:pPr>
        <w:bidi/>
        <w:jc w:val="both"/>
        <w:rPr>
          <w:sz w:val="24"/>
          <w:szCs w:val="24"/>
        </w:rPr>
      </w:pPr>
    </w:p>
    <w:p w:rsidR="00630D3D" w:rsidRPr="00630D3D" w:rsidRDefault="00630D3D" w:rsidP="00630D3D">
      <w:pPr>
        <w:bidi/>
        <w:jc w:val="both"/>
        <w:rPr>
          <w:rFonts w:cs="Arial"/>
          <w:sz w:val="24"/>
          <w:szCs w:val="24"/>
          <w:rtl/>
        </w:rPr>
      </w:pPr>
      <w:r w:rsidRPr="00630D3D">
        <w:rPr>
          <w:rFonts w:cs="Arial"/>
          <w:sz w:val="24"/>
          <w:szCs w:val="24"/>
          <w:rtl/>
        </w:rPr>
        <w:t>ולזה כוונו התוס' לומר דלשרפה קיימא, ואף אחר שנהרגה הבהמה עדיין עומדת לשרפה, וכך הוא המשך כוונת התוספות בדיבור הזה, דלפי מה שהקשו מתחלה למאי צריך קרא בציפורי מצורע למעט צפרי עיר הנדחת הא כבר נפקא לן מתנא דבי ר' ישמעאל, דכיון שאסורה בהנאה לא קרינן ממשקה ישראל ואינו ראוי לכפרה, שוב נלמד מכשיר ומכפר. ועל זה תירצו התוספות אפשר דלא ממעטינן ממשקה ישראל אלא דבר שלא היה לו שעת הכושר כמו ערלה וכלאי הכרם, אבל ציפורי עיר הנדחת היה לה שעת הכושר והלכך אפילו לכפרה מותרת, דאי משום הנאה מצות לא להנות ניתנו. ועל זה מסיק התוספות וכתבו וצ"ע בבהמת עיר הנדחת אם עבר והקדישה והקריבה אם הוא קרבן כשר, וכוונת התוס' בזה דלפי דבריהם הקודמים על כרחך צריכין לומר דבהמת עיר הנדחת כשר לקרבן בדיעבד, [דלכתחילה בודאי אין להקריבה דהא אפילו קדשי מזבח בתוכו יפדו ואינן נקרבים משום מאיסותא, עיין במסכת סנהדרין (דף קי"ב ריש ע"ב) ברש"י ד"ה היו בה קדשי מזבח ע"ש], דאי ס"ד לומר דאפילו בדיעבד פסול בהמת עיר הנדחת שהקדישה ושהקריבה, הדרא הקושיא לדוכתא למאי צריך קרא למעט צפרי עיר הנדחת לשחוטה של מצורע, הא מתנא דבי ר' ישמעאל נפקא דיליף מכשיר ומכפר, וכמו שבהמת עיר הנדחת פסול להקרבה כמו כן פסול צפרי עיר הנדחת להכשיר את המצורע, אלא על כרחך צ"ל ציפורי עיר הנדחת אפילו לכפרה מותרת.</w:t>
      </w:r>
    </w:p>
    <w:p w:rsidR="00630D3D" w:rsidRPr="00630D3D" w:rsidRDefault="00630D3D" w:rsidP="00630D3D">
      <w:pPr>
        <w:bidi/>
        <w:jc w:val="both"/>
        <w:rPr>
          <w:rFonts w:cs="Arial"/>
          <w:sz w:val="24"/>
          <w:szCs w:val="24"/>
          <w:rtl/>
        </w:rPr>
      </w:pPr>
    </w:p>
    <w:p w:rsidR="00630D3D" w:rsidRPr="00630D3D" w:rsidRDefault="00630D3D" w:rsidP="00630D3D">
      <w:pPr>
        <w:pStyle w:val="Heading1"/>
        <w:bidi/>
        <w:jc w:val="both"/>
        <w:rPr>
          <w:sz w:val="32"/>
          <w:szCs w:val="32"/>
          <w:rtl/>
        </w:rPr>
      </w:pPr>
      <w:r w:rsidRPr="00630D3D">
        <w:rPr>
          <w:rFonts w:hint="cs"/>
          <w:sz w:val="32"/>
          <w:szCs w:val="32"/>
          <w:rtl/>
        </w:rPr>
        <w:t>רע"א שם</w:t>
      </w:r>
    </w:p>
    <w:p w:rsidR="00630D3D" w:rsidRPr="00630D3D" w:rsidRDefault="00630D3D" w:rsidP="00630D3D">
      <w:pPr>
        <w:bidi/>
        <w:jc w:val="both"/>
        <w:rPr>
          <w:sz w:val="24"/>
          <w:szCs w:val="24"/>
        </w:rPr>
      </w:pPr>
      <w:r w:rsidRPr="00630D3D">
        <w:rPr>
          <w:rFonts w:cs="Arial"/>
          <w:sz w:val="24"/>
          <w:szCs w:val="24"/>
          <w:rtl/>
        </w:rPr>
        <w:t>בא"ד כיון דלשריפ' קיימא, תמוה לי הא בסנהדרין דקי"ב מבעי אי מהני שחיטה בבהמת עיה"נ לטהר מידי נבילה [דדלמא] לא מהני דלפי חרב כתיב, הרי דלא אתינן עלה מדין כתותי מכתת שיעורי', וגם אמאי לא נקט תוס' הך פסולא דלפי חרב כתיב ואינו בר שחיטה ואמאי שבקי תוס' סברא דגמרא ונקטו להו טעם אחר לעצמם וצע"ג. [עי' חי' ב"ק דף מ"א ע"א].</w:t>
      </w:r>
    </w:p>
    <w:p w:rsidR="00630D3D" w:rsidRPr="00630D3D" w:rsidRDefault="00630D3D" w:rsidP="00630D3D">
      <w:pPr>
        <w:bidi/>
        <w:jc w:val="both"/>
        <w:rPr>
          <w:sz w:val="24"/>
          <w:szCs w:val="24"/>
        </w:rPr>
      </w:pPr>
    </w:p>
    <w:p w:rsidR="00630D3D" w:rsidRPr="00630D3D" w:rsidRDefault="00630D3D" w:rsidP="00630D3D">
      <w:pPr>
        <w:bidi/>
        <w:jc w:val="both"/>
        <w:rPr>
          <w:sz w:val="24"/>
          <w:szCs w:val="24"/>
        </w:rPr>
      </w:pPr>
      <w:r w:rsidRPr="00630D3D">
        <w:rPr>
          <w:rFonts w:cs="Arial"/>
          <w:sz w:val="24"/>
          <w:szCs w:val="24"/>
          <w:rtl/>
        </w:rPr>
        <w:t>עי' מהרש"א ודבריו צל"ע, דא"כ גם בבהמת עיר הנידחת לא הוי שחיטה מדין כתותי מיכתת שיעוריה, והרי אבעיא דלא איפשטא בשחט בהמת עיר הנידחת אי מהני שחיטה לטהרו מידי נבילה, כיון דלפי חרב כתיב עיי"ש בסנהדרין (דף קי"ב), הרי דלא אתינן עלה מדין כתותי מיכתת שיעוריה, והיינו כדכתיבנא [בשו"ת סי' קס"ה] כיון דהסימן עצמו אין לו שיעור קצוב.</w:t>
      </w:r>
    </w:p>
    <w:sectPr w:rsidR="00630D3D" w:rsidRPr="00630D3D" w:rsidSect="00630D3D">
      <w:type w:val="continuous"/>
      <w:pgSz w:w="12240" w:h="15840"/>
      <w:pgMar w:top="1440" w:right="1440" w:bottom="1440" w:left="1440" w:header="720" w:footer="720" w:gutter="0"/>
      <w:cols w:num="2" w:sep="1" w:space="720"/>
      <w:bidi/>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B523E"/>
    <w:rsid w:val="00073B09"/>
    <w:rsid w:val="00245685"/>
    <w:rsid w:val="004A6860"/>
    <w:rsid w:val="00630D3D"/>
    <w:rsid w:val="00647BAF"/>
    <w:rsid w:val="00B65FBE"/>
    <w:rsid w:val="00B663E9"/>
    <w:rsid w:val="00BB523E"/>
    <w:rsid w:val="00E407AA"/>
    <w:rsid w:val="00EA03A6"/>
    <w:rsid w:val="00F516F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AA"/>
  </w:style>
  <w:style w:type="paragraph" w:styleId="Heading1">
    <w:name w:val="heading 1"/>
    <w:basedOn w:val="Normal"/>
    <w:next w:val="Normal"/>
    <w:link w:val="Heading1Char"/>
    <w:uiPriority w:val="9"/>
    <w:qFormat/>
    <w:rsid w:val="00630D3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0D3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30D3D"/>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630D3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56618020">
      <w:bodyDiv w:val="1"/>
      <w:marLeft w:val="0"/>
      <w:marRight w:val="0"/>
      <w:marTop w:val="0"/>
      <w:marBottom w:val="0"/>
      <w:divBdr>
        <w:top w:val="none" w:sz="0" w:space="0" w:color="auto"/>
        <w:left w:val="none" w:sz="0" w:space="0" w:color="auto"/>
        <w:bottom w:val="none" w:sz="0" w:space="0" w:color="auto"/>
        <w:right w:val="none" w:sz="0" w:space="0" w:color="auto"/>
      </w:divBdr>
      <w:divsChild>
        <w:div w:id="1169366181">
          <w:marLeft w:val="0"/>
          <w:marRight w:val="-56"/>
          <w:marTop w:val="0"/>
          <w:marBottom w:val="0"/>
          <w:divBdr>
            <w:top w:val="none" w:sz="0" w:space="0" w:color="auto"/>
            <w:left w:val="none" w:sz="0" w:space="0" w:color="auto"/>
            <w:bottom w:val="none" w:sz="0" w:space="0" w:color="auto"/>
            <w:right w:val="none" w:sz="0" w:space="0" w:color="auto"/>
          </w:divBdr>
        </w:div>
        <w:div w:id="132602801">
          <w:marLeft w:val="0"/>
          <w:marRight w:val="-56"/>
          <w:marTop w:val="0"/>
          <w:marBottom w:val="0"/>
          <w:divBdr>
            <w:top w:val="none" w:sz="0" w:space="0" w:color="auto"/>
            <w:left w:val="none" w:sz="0" w:space="0" w:color="auto"/>
            <w:bottom w:val="none" w:sz="0" w:space="0" w:color="auto"/>
            <w:right w:val="none" w:sz="0" w:space="0" w:color="auto"/>
          </w:divBdr>
        </w:div>
      </w:divsChild>
    </w:div>
    <w:div w:id="1427117673">
      <w:bodyDiv w:val="1"/>
      <w:marLeft w:val="0"/>
      <w:marRight w:val="0"/>
      <w:marTop w:val="0"/>
      <w:marBottom w:val="0"/>
      <w:divBdr>
        <w:top w:val="none" w:sz="0" w:space="0" w:color="auto"/>
        <w:left w:val="none" w:sz="0" w:space="0" w:color="auto"/>
        <w:bottom w:val="none" w:sz="0" w:space="0" w:color="auto"/>
        <w:right w:val="none" w:sz="0" w:space="0" w:color="auto"/>
      </w:divBdr>
      <w:divsChild>
        <w:div w:id="753627329">
          <w:marLeft w:val="0"/>
          <w:marRight w:val="-45"/>
          <w:marTop w:val="0"/>
          <w:marBottom w:val="0"/>
          <w:divBdr>
            <w:top w:val="none" w:sz="0" w:space="0" w:color="auto"/>
            <w:left w:val="none" w:sz="0" w:space="0" w:color="auto"/>
            <w:bottom w:val="none" w:sz="0" w:space="0" w:color="auto"/>
            <w:right w:val="none" w:sz="0" w:space="0" w:color="auto"/>
          </w:divBdr>
        </w:div>
      </w:divsChild>
    </w:div>
    <w:div w:id="1878008930">
      <w:bodyDiv w:val="1"/>
      <w:marLeft w:val="0"/>
      <w:marRight w:val="0"/>
      <w:marTop w:val="0"/>
      <w:marBottom w:val="0"/>
      <w:divBdr>
        <w:top w:val="none" w:sz="0" w:space="0" w:color="auto"/>
        <w:left w:val="none" w:sz="0" w:space="0" w:color="auto"/>
        <w:bottom w:val="none" w:sz="0" w:space="0" w:color="auto"/>
        <w:right w:val="none" w:sz="0" w:space="0" w:color="auto"/>
      </w:divBdr>
      <w:divsChild>
        <w:div w:id="903297638">
          <w:marLeft w:val="0"/>
          <w:marRight w:val="-56"/>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Sugerman</dc:creator>
  <cp:lastModifiedBy>Ben Sugerman</cp:lastModifiedBy>
  <cp:revision>2</cp:revision>
  <dcterms:created xsi:type="dcterms:W3CDTF">2019-07-25T16:35:00Z</dcterms:created>
  <dcterms:modified xsi:type="dcterms:W3CDTF">2019-07-25T16:35:00Z</dcterms:modified>
</cp:coreProperties>
</file>