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D3" w:rsidRPr="00BF60A7" w:rsidRDefault="00010839" w:rsidP="00BF60A7">
      <w:pPr>
        <w:pStyle w:val="Title"/>
        <w:bidi/>
        <w:jc w:val="center"/>
        <w:rPr>
          <w:sz w:val="32"/>
          <w:szCs w:val="32"/>
          <w:rtl/>
        </w:rPr>
      </w:pPr>
      <w:r>
        <w:rPr>
          <w:rFonts w:hint="cs"/>
          <w:sz w:val="32"/>
          <w:szCs w:val="32"/>
          <w:rtl/>
        </w:rPr>
        <w:t>ראש השנה פרק שני \ כב.-כב:</w:t>
      </w:r>
    </w:p>
    <w:p w:rsidR="00BF60A7" w:rsidRPr="000F5B7F" w:rsidRDefault="00010839" w:rsidP="00BF60A7">
      <w:pPr>
        <w:pStyle w:val="Title"/>
        <w:bidi/>
        <w:jc w:val="center"/>
        <w:rPr>
          <w:sz w:val="56"/>
          <w:szCs w:val="56"/>
          <w:rtl/>
        </w:rPr>
      </w:pPr>
      <w:r>
        <w:rPr>
          <w:rFonts w:hint="cs"/>
          <w:sz w:val="56"/>
          <w:szCs w:val="56"/>
          <w:rtl/>
        </w:rPr>
        <w:t>הפקר בית דין הפקר</w:t>
      </w:r>
    </w:p>
    <w:p w:rsidR="00BF60A7" w:rsidRPr="00BF60A7" w:rsidRDefault="00BF60A7" w:rsidP="00BF60A7">
      <w:pPr>
        <w:pStyle w:val="Title"/>
        <w:bidi/>
        <w:jc w:val="center"/>
        <w:rPr>
          <w:sz w:val="24"/>
          <w:szCs w:val="24"/>
          <w:rtl/>
        </w:rPr>
      </w:pPr>
      <w:r w:rsidRPr="00BF60A7">
        <w:rPr>
          <w:rFonts w:hint="cs"/>
          <w:sz w:val="24"/>
          <w:szCs w:val="24"/>
          <w:rtl/>
        </w:rPr>
        <w:t>דב גדליה שוגרמן</w:t>
      </w:r>
    </w:p>
    <w:p w:rsidR="00BF60A7" w:rsidRDefault="00BF60A7" w:rsidP="00BF60A7">
      <w:pPr>
        <w:pStyle w:val="Heading1"/>
        <w:bidi/>
        <w:jc w:val="both"/>
        <w:rPr>
          <w:rtl/>
        </w:rPr>
        <w:sectPr w:rsidR="00BF60A7" w:rsidSect="00E407AA">
          <w:pgSz w:w="12240" w:h="15840"/>
          <w:pgMar w:top="1440" w:right="1440" w:bottom="1440" w:left="1440" w:header="720" w:footer="720" w:gutter="0"/>
          <w:cols w:space="720"/>
          <w:docGrid w:linePitch="360"/>
        </w:sectPr>
      </w:pPr>
    </w:p>
    <w:p w:rsidR="00010839" w:rsidRPr="00010839" w:rsidRDefault="00010839" w:rsidP="00010839">
      <w:pPr>
        <w:pStyle w:val="Heading1"/>
        <w:bidi/>
        <w:rPr>
          <w:rFonts w:hint="cs"/>
          <w:rtl/>
        </w:rPr>
      </w:pPr>
      <w:r w:rsidRPr="00010839">
        <w:rPr>
          <w:rtl/>
        </w:rPr>
        <w:lastRenderedPageBreak/>
        <w:t>תלמוד</w:t>
      </w:r>
      <w:r w:rsidR="00EC79FB">
        <w:rPr>
          <w:rtl/>
        </w:rPr>
        <w:t xml:space="preserve"> בבלי מסכת ראש השנה דף כב</w:t>
      </w:r>
      <w:r w:rsidR="00EC79FB">
        <w:rPr>
          <w:rFonts w:hint="cs"/>
          <w:rtl/>
        </w:rPr>
        <w:t>.-כב:</w:t>
      </w:r>
    </w:p>
    <w:p w:rsidR="00010839" w:rsidRPr="00010839" w:rsidRDefault="00010839" w:rsidP="00EC79FB">
      <w:pPr>
        <w:bidi/>
        <w:jc w:val="both"/>
        <w:rPr>
          <w:rFonts w:cs="Arial"/>
        </w:rPr>
      </w:pPr>
      <w:r w:rsidRPr="00010839">
        <w:rPr>
          <w:rFonts w:cs="Arial"/>
          <w:rtl/>
        </w:rPr>
        <w:t>משנה</w:t>
      </w:r>
      <w:r w:rsidR="00EC79FB">
        <w:rPr>
          <w:rFonts w:cs="Arial" w:hint="cs"/>
          <w:rtl/>
        </w:rPr>
        <w:t>:</w:t>
      </w:r>
      <w:r w:rsidRPr="00010839">
        <w:rPr>
          <w:rFonts w:cs="Arial"/>
          <w:rtl/>
        </w:rPr>
        <w:t xml:space="preserve"> אם אינן מכירין אותו - משלחין עמו אחר להעידו. בראשונה היו מקבלין עדות החדש מכל אדם, משקלקלו הבייתוסים - התקינו שלא יהו מקבלין אלא מן המכירין. גמרא. מאי אחר? חד,</w:t>
      </w:r>
      <w:r>
        <w:rPr>
          <w:rFonts w:cs="Arial" w:hint="cs"/>
          <w:rtl/>
        </w:rPr>
        <w:t xml:space="preserve"> </w:t>
      </w:r>
      <w:r w:rsidRPr="00010839">
        <w:rPr>
          <w:rFonts w:cs="Arial"/>
          <w:rtl/>
        </w:rPr>
        <w:t>וחד מי מהימן? והתניא: מעשה שבא הוא ועדיו עמו להעיד עליו! - אמר רב פפא: מאי אחר - זוג אחר. הכי נמי מסתברא, דאי לא תימא הכי - אם אינן מכירין אותו, מאי אותו? אילימא אותו חד - וחד מי מהימן? משפט כתיב ביה! אלא מאי אותו - אותו הזוג, הכי נמי מאי אחר - זוג אחר. - וחד לא מהימן? והתניא: מעשה ברבי נהוראי שהלך אצל העד להעיד עליו בשבת באושא! - אמרי: רבי נהוראי סהדא אחרינא הוה בהדיה, והא דלא חשיב ליה - משום כבודו של רבי נהוראי. רב אשי אמר: רבי נהוראי, סהדא אחרינא הוה באושא, ואזל רבי נהוראי לאצטרופי בהדיה. - אי הכי מאי למימרא? - מהו דתימא: מספיקא לא מחללינן שבתא, קמשמע לן. </w:t>
      </w:r>
    </w:p>
    <w:p w:rsidR="00010839" w:rsidRPr="00010839" w:rsidRDefault="00010839" w:rsidP="00010839">
      <w:pPr>
        <w:bidi/>
        <w:jc w:val="both"/>
        <w:rPr>
          <w:rFonts w:cs="Arial"/>
        </w:rPr>
      </w:pPr>
      <w:r w:rsidRPr="00010839">
        <w:rPr>
          <w:rFonts w:cs="Arial"/>
          <w:rtl/>
        </w:rPr>
        <w:t>כי אתא עולא, אמר: קדשוה לירחא במערבא. אמר רב כהנא: לא מיבעיא עולא דגברא רבה הוא, דמהימן, אלא אפילו איניש דעלמא - נמי מהימן. מאי טעמא? כל מילתא דעבידא לאגלויי - לא משקרי בה אינשי. תניא נמי הכי: בא אחד בסוף העולם ואמר קדשו בית דין את החדש - נאמן. </w:t>
      </w:r>
    </w:p>
    <w:p w:rsidR="00BF60A7" w:rsidRDefault="00010839" w:rsidP="00EC79FB">
      <w:pPr>
        <w:bidi/>
        <w:jc w:val="both"/>
        <w:rPr>
          <w:rFonts w:cs="Arial"/>
        </w:rPr>
      </w:pPr>
      <w:r w:rsidRPr="00010839">
        <w:rPr>
          <w:rFonts w:cs="Arial"/>
          <w:rtl/>
        </w:rPr>
        <w:t>בראשונה היו מקבלין עדות החדש מכל אדם וכו'. תנו רבנן: מה קלקול קלקלו הבייתוסין</w:t>
      </w:r>
      <w:r w:rsidR="00EC79FB">
        <w:rPr>
          <w:rFonts w:cs="Arial" w:hint="cs"/>
          <w:rtl/>
        </w:rPr>
        <w:t>.</w:t>
      </w:r>
      <w:r w:rsidRPr="00010839">
        <w:rPr>
          <w:rFonts w:cs="Arial"/>
          <w:rtl/>
        </w:rPr>
        <w:t xml:space="preserve"> פעם אחת בקשו בייתוסין להטעות את חכמים, שכרו שני בני אדם בארבע מאות זוז, אחד משלנו ואחד משלהם. שלהם העיד עדותו ויצא. שלנו, אמרו לו: אמור כיצד ראית את הלבנה? אמר להם: עולה הייתי במעלה אדומים, וראיתיו שהוא רבוץ בין שני סלעים, ראשו דומה לעגל, אזניו דומין לגדי, קרניו דומות לצבי, וזנבו מונחת לו בין ירכותיו. והצצתי בו, ונרתעתי ונפלתי לאחורי. ואם אין אתם מאמינים לי - הרי מאתים זוז צרורין לי בסדיני. אמרו לו: מי הזקיקך לכך? אמר להם: שמעתי שבקשו בייתוסים להטעות את חכמים, אמרתי: אלך אני ואודיע להם, שמא יבואו בני אדם שאינם מהוגנין, ויטעו את חכמים. </w:t>
      </w:r>
      <w:r w:rsidRPr="00010839">
        <w:rPr>
          <w:rFonts w:cs="Arial"/>
          <w:rtl/>
        </w:rPr>
        <w:lastRenderedPageBreak/>
        <w:t>אמרו לו: מאתים זוז נתונין לך במתנה, והשוכרך ימתח על העמוד. באותה שעה התקינו שלא יהו מקבלין אלא מן המכירין.</w:t>
      </w:r>
    </w:p>
    <w:p w:rsidR="00010839" w:rsidRPr="00010839" w:rsidRDefault="00010839" w:rsidP="00010839">
      <w:pPr>
        <w:pStyle w:val="Heading1"/>
        <w:bidi/>
      </w:pPr>
      <w:r w:rsidRPr="00010839">
        <w:rPr>
          <w:rtl/>
        </w:rPr>
        <w:t>רש"י מסכת ראש השנה דף כב עמוד ב</w:t>
      </w:r>
    </w:p>
    <w:p w:rsidR="00010839" w:rsidRPr="00010839" w:rsidRDefault="00010839" w:rsidP="00010839">
      <w:pPr>
        <w:bidi/>
        <w:jc w:val="both"/>
        <w:rPr>
          <w:rFonts w:cs="Arial"/>
        </w:rPr>
      </w:pPr>
      <w:r w:rsidRPr="00010839">
        <w:rPr>
          <w:rFonts w:cs="Arial"/>
          <w:rtl/>
        </w:rPr>
        <w:t>להטעות את החכמים - שאירע יום שלשים של אדר בשבת, ולא נראה חדש בזמנו, והבייתוסין מתאוין שיהא יום ראשון של פסח בשבת, כדי שתהא הנפת העומר באחד בשבת ועצרת באחד בשבת, לפי שהן דורשין ממחרת השבת יניפנו - ממחרת שבת בראשית, כמשמעו, ושכרו שני בני אדם להעיד שראו את החדש היום.</w:t>
      </w:r>
    </w:p>
    <w:p w:rsidR="00010839" w:rsidRPr="00010839" w:rsidRDefault="00010839" w:rsidP="00010839">
      <w:pPr>
        <w:bidi/>
        <w:jc w:val="both"/>
        <w:rPr>
          <w:rFonts w:cs="Arial"/>
        </w:rPr>
      </w:pPr>
      <w:r w:rsidRPr="00010839">
        <w:rPr>
          <w:rFonts w:cs="Arial"/>
          <w:rtl/>
        </w:rPr>
        <w:t>אחד משלנו - ולא הכירוהו.</w:t>
      </w:r>
    </w:p>
    <w:p w:rsidR="00BF60A7" w:rsidRDefault="00010839" w:rsidP="00010839">
      <w:pPr>
        <w:bidi/>
        <w:jc w:val="both"/>
        <w:rPr>
          <w:rFonts w:hint="cs"/>
          <w:rtl/>
        </w:rPr>
      </w:pPr>
      <w:r w:rsidRPr="00010839">
        <w:rPr>
          <w:rFonts w:cs="Arial"/>
          <w:rtl/>
        </w:rPr>
        <w:t xml:space="preserve">מאתים זוז נתונים לך במתנה - </w:t>
      </w:r>
      <w:r w:rsidRPr="00EC79FB">
        <w:rPr>
          <w:rFonts w:cs="Arial"/>
          <w:u w:val="single"/>
          <w:rtl/>
        </w:rPr>
        <w:t>ותהא רשאי לעכבן, ואף על פי שלא השלמת תנאי שלך לשוכרך, דיש רשות לבית דין לקנוס ממון ולעשותו הפקר, כדאמרינן ביבמות (פט, ב): מנין שהפקר בית דין הפקר - שנאמר וכל אשר לא יבא לשלשת הימים וגו' יחרם כל רכושו וגו' (עזרא י)</w:t>
      </w:r>
      <w:r w:rsidRPr="00010839">
        <w:rPr>
          <w:rFonts w:cs="Arial"/>
          <w:rtl/>
        </w:rPr>
        <w:t>.</w:t>
      </w:r>
    </w:p>
    <w:p w:rsidR="00010839" w:rsidRPr="00010839" w:rsidRDefault="00010839" w:rsidP="00010839">
      <w:pPr>
        <w:pStyle w:val="Heading1"/>
        <w:bidi/>
      </w:pPr>
      <w:r w:rsidRPr="00010839">
        <w:rPr>
          <w:rtl/>
        </w:rPr>
        <w:t>תלמוד בבלי מסכת גיטין דף לו עמוד א</w:t>
      </w:r>
    </w:p>
    <w:p w:rsidR="00010839" w:rsidRDefault="00010839" w:rsidP="00EC79FB">
      <w:pPr>
        <w:bidi/>
        <w:jc w:val="both"/>
        <w:rPr>
          <w:rFonts w:cs="Arial" w:hint="cs"/>
          <w:rtl/>
        </w:rPr>
      </w:pPr>
      <w:r w:rsidRPr="00010839">
        <w:rPr>
          <w:rFonts w:cs="Arial"/>
          <w:rtl/>
        </w:rPr>
        <w:t>הלל התקין פרוסבול וכו'. תנן התם: פרוסבול אינו משמט, זה אחד מן הדברים שהתקין הלל הזקן, שראה את העם שנמנעו מלהלוות זה את זה ועברו על מה שכתוב בתורה השמר לך פן יהיה דבר עם לבבך בליעל וגו', עמד והתקין פרוסבול; וזה הוא גופו של פרוסבול: מוסרני לכם פלוני דיינין שבמקום פלוני, שכל חוב שיש לי אצל פלוני שאגבנו כל זמן שארצה, והדיינים חותמים למטה או העדים. ומי איכא מידי, דמדאורייתא משמטא שביעית, והתקין הלל דלא משמטא? אמר אביי: בשביעית בזמן הזה, ורבי היא; דתניא, רבי אומר: וזה דבר השמיטה שמוט - בשתי שמיטות הכתוב מדבר, אחת שמיטת קרקע ואחת שמיטת כספים, בזמן שאתה משמט קרקע - אתה משמט כספים, בזמן שאי אתה משמט קרקע - אי אתה משמט כספים;</w:t>
      </w:r>
      <w:r w:rsidR="00EC79FB">
        <w:rPr>
          <w:rFonts w:cs="Arial" w:hint="cs"/>
          <w:rtl/>
        </w:rPr>
        <w:t xml:space="preserve"> </w:t>
      </w:r>
      <w:r>
        <w:rPr>
          <w:rFonts w:cs="Arial"/>
          <w:rtl/>
        </w:rPr>
        <w:t xml:space="preserve">תקינו רבנן דתשמט זכר לשביעית. ראה הלל שנמנעו העם מלהלוות זה את זה, עמד והתקין פרוסבול. ומי איכא מידי, </w:t>
      </w:r>
      <w:r>
        <w:rPr>
          <w:rFonts w:cs="Arial"/>
          <w:rtl/>
        </w:rPr>
        <w:lastRenderedPageBreak/>
        <w:t>דמדאורייתא לא משמטא שביעית, ותקינו רבנן דתשמט? אמר אביי: שב ואל תעשה הוא. רבא אמר: הפקר ב"ד היה הפקר, דאמר ר' יצחק: מנין שהפקר ב"ד היה הפקר? שנאמ': אוכל אשר לא יבוא לשלשת הימים כעצת השרים והזקנים יחרם כל רכושו והוא יבדל מקהל הגולה. רבי אליעזר אמר, מהכא: באלה הנחלות אשר נחלו אלעזר הכהן ויהושע בן נון וראשי האבות וגו', וכי מה ענין ראשים אצל אבות? לומר לך, מה אבות מנחילין את בניהם כל מה שירצו, אף ראשים מנחילין העם כל מה שירצו.</w:t>
      </w:r>
    </w:p>
    <w:p w:rsidR="00EC79FB" w:rsidRDefault="00EC79FB" w:rsidP="00EC79FB">
      <w:pPr>
        <w:pStyle w:val="Heading1"/>
        <w:bidi/>
      </w:pPr>
      <w:r>
        <w:rPr>
          <w:rtl/>
        </w:rPr>
        <w:t>רש"י מסכת גיטין דף לו עמוד ב</w:t>
      </w:r>
    </w:p>
    <w:p w:rsidR="00EC79FB" w:rsidRDefault="00EC79FB" w:rsidP="00EC79FB">
      <w:pPr>
        <w:bidi/>
        <w:jc w:val="both"/>
      </w:pPr>
      <w:r>
        <w:rPr>
          <w:rFonts w:cs="Arial"/>
          <w:rtl/>
        </w:rPr>
        <w:t>רבא אמר - לעולם בין לרבנן דפליגי אדרבי ואמרי שביעית להשמטת מלוה בזמן הזה דאורייתא ותקין הלל דלא תשמט בין לרבי דאמר לאו דאורייתא ואמור רבנן דתשמט לא תיקשי דבר דבדבר שבממון אין כאן עקירת דבר מן התורה במקום סייג וגדר דהפקר ב"ד בממון היה הפקר</w:t>
      </w:r>
    </w:p>
    <w:p w:rsidR="00010839" w:rsidRPr="00010839" w:rsidRDefault="00010839" w:rsidP="00EC79FB">
      <w:pPr>
        <w:pStyle w:val="Heading1"/>
        <w:bidi/>
      </w:pPr>
      <w:r w:rsidRPr="00010839">
        <w:rPr>
          <w:rtl/>
        </w:rPr>
        <w:t>ים של שלמה</w:t>
      </w:r>
      <w:r w:rsidR="00EC79FB">
        <w:rPr>
          <w:rStyle w:val="FootnoteReference"/>
          <w:rtl/>
        </w:rPr>
        <w:footnoteReference w:id="1"/>
      </w:r>
      <w:r w:rsidRPr="00010839">
        <w:rPr>
          <w:rtl/>
        </w:rPr>
        <w:t xml:space="preserve"> מסכת יבמות פרק י</w:t>
      </w:r>
    </w:p>
    <w:p w:rsidR="00010839" w:rsidRPr="00010839" w:rsidRDefault="00010839" w:rsidP="00010839">
      <w:pPr>
        <w:bidi/>
        <w:jc w:val="both"/>
        <w:rPr>
          <w:rFonts w:cs="Arial"/>
        </w:rPr>
      </w:pPr>
      <w:r w:rsidRPr="00010839">
        <w:rPr>
          <w:rFonts w:cs="Arial"/>
          <w:rtl/>
        </w:rPr>
        <w:t>יט. דין דהפקר ב"ד הפקר, אפי' להפקיע ממון של אחר, ולהחליט ביד חבירו:</w:t>
      </w:r>
    </w:p>
    <w:p w:rsidR="00C3217B" w:rsidRDefault="00010839" w:rsidP="00010839">
      <w:pPr>
        <w:bidi/>
        <w:jc w:val="both"/>
        <w:rPr>
          <w:rFonts w:cs="Arial"/>
          <w:rtl/>
        </w:rPr>
      </w:pPr>
      <w:r w:rsidRPr="00010839">
        <w:rPr>
          <w:rFonts w:cs="Arial"/>
          <w:rtl/>
        </w:rPr>
        <w:t xml:space="preserve">אמר ר' יצחק (פ"ט ע"ב) מניין שהפקר ב"ד הפקר, שנא' (עזרא י', ח') כל אשר לא יבא לשלשת הימים, בעצת השרים והזקנים, יחרם כל רכושו וגו', ר' אלעזר אמר מהכא (יהושע י"ט, נ"א) אלה הנחלות אשר נחלו אלעזר הכהן, ויהושע בן נון, וראשי האבות למטות ב"י וגו', וכי מה עניין ראשים אצל האבות, אלא מה אבות מנחילין לכל מי שירצו, אף ראשים מנחילין לכל מי שירצו, </w:t>
      </w:r>
      <w:r w:rsidRPr="00EC79FB">
        <w:rPr>
          <w:rFonts w:cs="Arial"/>
          <w:u w:val="single"/>
          <w:rtl/>
        </w:rPr>
        <w:t>ונראה דהא דר"א עדיף דילפינן מיניה, שיוכלו להפקיע ממון של אחר ולהחליט לחבירו, ולא תימא, דווקא שיכולים להפקיר אותו, או להחרימו</w:t>
      </w:r>
      <w:r w:rsidRPr="00010839">
        <w:rPr>
          <w:rFonts w:cs="Arial"/>
          <w:rtl/>
        </w:rPr>
        <w:t xml:space="preserve">, וכת' הרמב"ם (ה' סנהדרין פכ"ד ה"ו) דה"ה לכל ב"ד חשוב, בכל מקום, ובכל זמן, </w:t>
      </w:r>
      <w:r w:rsidRPr="00010839">
        <w:rPr>
          <w:rFonts w:cs="Arial"/>
          <w:rtl/>
        </w:rPr>
        <w:lastRenderedPageBreak/>
        <w:t>כדאמרי' במסכ' מ"ק (ט"ז ע"א) וכו' מנלן דמפקרינן, וכתב הריטב"א, מכאן סמוך להכרזת שנהגו במלכותינו, כי מפני שיש בו תיקון ללקוחות, ולמוכרים, מפקיעין זכותו</w:t>
      </w:r>
      <w:r>
        <w:rPr>
          <w:rFonts w:cs="Arial"/>
          <w:rtl/>
        </w:rPr>
        <w:t xml:space="preserve"> של מערער לגמרי, מפני שלא מיחה:</w:t>
      </w:r>
    </w:p>
    <w:p w:rsidR="00C3217B" w:rsidRDefault="00C3217B" w:rsidP="00C3217B">
      <w:pPr>
        <w:bidi/>
        <w:jc w:val="both"/>
        <w:rPr>
          <w:rFonts w:cs="Arial"/>
        </w:rPr>
      </w:pPr>
    </w:p>
    <w:p w:rsidR="00BF60A7" w:rsidRDefault="00BF60A7" w:rsidP="00BF60A7">
      <w:pPr>
        <w:bidi/>
        <w:jc w:val="both"/>
      </w:pPr>
      <w:r>
        <w:rPr>
          <w:rFonts w:cs="Arial"/>
          <w:rtl/>
        </w:rPr>
        <w:t>:</w:t>
      </w:r>
    </w:p>
    <w:sectPr w:rsidR="00BF60A7" w:rsidSect="00BF60A7">
      <w:type w:val="continuous"/>
      <w:pgSz w:w="12240" w:h="15840"/>
      <w:pgMar w:top="1440" w:right="1440" w:bottom="1440" w:left="1440" w:header="720" w:footer="720" w:gutter="0"/>
      <w:cols w:num="2" w:sep="1"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07" w:rsidRDefault="00B82D07" w:rsidP="00EC79FB">
      <w:pPr>
        <w:spacing w:after="0" w:line="240" w:lineRule="auto"/>
      </w:pPr>
      <w:r>
        <w:separator/>
      </w:r>
    </w:p>
  </w:endnote>
  <w:endnote w:type="continuationSeparator" w:id="0">
    <w:p w:rsidR="00B82D07" w:rsidRDefault="00B82D07" w:rsidP="00EC7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07" w:rsidRDefault="00B82D07" w:rsidP="00EC79FB">
      <w:pPr>
        <w:spacing w:after="0" w:line="240" w:lineRule="auto"/>
      </w:pPr>
      <w:r>
        <w:separator/>
      </w:r>
    </w:p>
  </w:footnote>
  <w:footnote w:type="continuationSeparator" w:id="0">
    <w:p w:rsidR="00B82D07" w:rsidRDefault="00B82D07" w:rsidP="00EC79FB">
      <w:pPr>
        <w:spacing w:after="0" w:line="240" w:lineRule="auto"/>
      </w:pPr>
      <w:r>
        <w:continuationSeparator/>
      </w:r>
    </w:p>
  </w:footnote>
  <w:footnote w:id="1">
    <w:p w:rsidR="00EC79FB" w:rsidRDefault="00EC79FB" w:rsidP="00EC79FB">
      <w:pPr>
        <w:pStyle w:val="FootnoteText"/>
      </w:pPr>
      <w:r>
        <w:rPr>
          <w:rStyle w:val="FootnoteReference"/>
        </w:rPr>
        <w:footnoteRef/>
      </w:r>
      <w:r>
        <w:t xml:space="preserve"> </w:t>
      </w:r>
      <w:r>
        <w:t xml:space="preserve">Rabbi </w:t>
      </w:r>
      <w:proofErr w:type="spellStart"/>
      <w:r>
        <w:t>Shlomo</w:t>
      </w:r>
      <w:proofErr w:type="spellEnd"/>
      <w:r>
        <w:t xml:space="preserve"> </w:t>
      </w:r>
      <w:proofErr w:type="spellStart"/>
      <w:r>
        <w:t>ben</w:t>
      </w:r>
      <w:proofErr w:type="spellEnd"/>
      <w:r>
        <w:t xml:space="preserve"> </w:t>
      </w:r>
      <w:proofErr w:type="spellStart"/>
      <w:r>
        <w:t>Yechiel</w:t>
      </w:r>
      <w:proofErr w:type="spellEnd"/>
      <w:r>
        <w:t xml:space="preserve"> Luria (</w:t>
      </w:r>
      <w:proofErr w:type="spellStart"/>
      <w:r>
        <w:t>Maharshal</w:t>
      </w:r>
      <w:proofErr w:type="spellEnd"/>
      <w:r>
        <w:t xml:space="preserve">) was born ca. 1510 in Poznan, Poland. He served as rabbi in various communities before he founded his own </w:t>
      </w:r>
      <w:proofErr w:type="spellStart"/>
      <w:r>
        <w:t>yeshivah</w:t>
      </w:r>
      <w:proofErr w:type="spellEnd"/>
      <w:r>
        <w:t xml:space="preserve"> in Lublin, Poland, in 1567. His approach to Talmud study differed from the </w:t>
      </w:r>
      <w:proofErr w:type="spellStart"/>
      <w:r>
        <w:t>pilpulistic</w:t>
      </w:r>
      <w:proofErr w:type="spellEnd"/>
      <w:r>
        <w:t xml:space="preserve"> approach then in vogue in Poland. </w:t>
      </w:r>
      <w:proofErr w:type="spellStart"/>
      <w:r>
        <w:t>Maharshal</w:t>
      </w:r>
      <w:proofErr w:type="spellEnd"/>
      <w:r>
        <w:t xml:space="preserve"> wrote important </w:t>
      </w:r>
      <w:proofErr w:type="spellStart"/>
      <w:r>
        <w:t>novellae</w:t>
      </w:r>
      <w:proofErr w:type="spellEnd"/>
      <w:r>
        <w:t xml:space="preserve"> on the Talmud, as well as </w:t>
      </w:r>
      <w:proofErr w:type="spellStart"/>
      <w:r>
        <w:t>responsa</w:t>
      </w:r>
      <w:proofErr w:type="spellEnd"/>
      <w:r>
        <w:t>. He died in 1574.</w:t>
      </w:r>
    </w:p>
    <w:p w:rsidR="00EC79FB" w:rsidRDefault="00EC79FB" w:rsidP="00EC79FB">
      <w:pPr>
        <w:pStyle w:val="FootnoteText"/>
      </w:pPr>
      <w:r>
        <w:t xml:space="preserve">His most famous book is Yam </w:t>
      </w:r>
      <w:proofErr w:type="spellStart"/>
      <w:r>
        <w:t>Shel</w:t>
      </w:r>
      <w:proofErr w:type="spellEnd"/>
      <w:r>
        <w:t xml:space="preserve"> </w:t>
      </w:r>
      <w:proofErr w:type="spellStart"/>
      <w:r>
        <w:t>Shlomo</w:t>
      </w:r>
      <w:proofErr w:type="spellEnd"/>
      <w:r>
        <w:t xml:space="preserve"> ("the Sea of Solomon"</w:t>
      </w:r>
      <w:r>
        <w:t>),</w:t>
      </w:r>
      <w:r>
        <w:t xml:space="preserve"> a commentary on several tractates of the Talmud.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footnotePr>
    <w:footnote w:id="-1"/>
    <w:footnote w:id="0"/>
  </w:footnotePr>
  <w:endnotePr>
    <w:endnote w:id="-1"/>
    <w:endnote w:id="0"/>
  </w:endnotePr>
  <w:compat/>
  <w:rsids>
    <w:rsidRoot w:val="00BF60A7"/>
    <w:rsid w:val="00010839"/>
    <w:rsid w:val="00073B09"/>
    <w:rsid w:val="000F5B7F"/>
    <w:rsid w:val="00146761"/>
    <w:rsid w:val="00205BEE"/>
    <w:rsid w:val="00245685"/>
    <w:rsid w:val="00282824"/>
    <w:rsid w:val="002D390E"/>
    <w:rsid w:val="0061731E"/>
    <w:rsid w:val="009228BB"/>
    <w:rsid w:val="00B65FBE"/>
    <w:rsid w:val="00B663E9"/>
    <w:rsid w:val="00B82D07"/>
    <w:rsid w:val="00BF60A7"/>
    <w:rsid w:val="00C3217B"/>
    <w:rsid w:val="00C81E33"/>
    <w:rsid w:val="00E407AA"/>
    <w:rsid w:val="00EC79F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BF60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60A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60A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F60A7"/>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EC7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9FB"/>
    <w:rPr>
      <w:sz w:val="20"/>
      <w:szCs w:val="20"/>
    </w:rPr>
  </w:style>
  <w:style w:type="character" w:styleId="FootnoteReference">
    <w:name w:val="footnote reference"/>
    <w:basedOn w:val="DefaultParagraphFont"/>
    <w:uiPriority w:val="99"/>
    <w:semiHidden/>
    <w:unhideWhenUsed/>
    <w:rsid w:val="00EC79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0E488-DAF5-4D4E-A004-CD1F67E3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2</cp:revision>
  <dcterms:created xsi:type="dcterms:W3CDTF">2020-05-06T23:19:00Z</dcterms:created>
  <dcterms:modified xsi:type="dcterms:W3CDTF">2020-05-06T23:19:00Z</dcterms:modified>
</cp:coreProperties>
</file>