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47" w:rsidRDefault="00931875" w:rsidP="00023747">
      <w:pPr>
        <w:pStyle w:val="NoSpacing"/>
        <w:bidi/>
        <w:jc w:val="center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החיוב לאונס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לישא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 אנוסתו</w:t>
      </w:r>
      <w:bookmarkStart w:id="0" w:name="_GoBack"/>
      <w:bookmarkEnd w:id="0"/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תלמוד בבלי מסכת כתובות דף לה עמוד ב</w:t>
      </w:r>
      <w:r w:rsidRPr="00023747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</w:p>
    <w:p w:rsidR="00391220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  <w:r w:rsidRPr="00023747">
        <w:rPr>
          <w:rFonts w:ascii="David" w:hAnsi="David" w:cs="David"/>
          <w:sz w:val="24"/>
          <w:szCs w:val="24"/>
        </w:rPr>
        <w:t xml:space="preserve"> </w:t>
      </w:r>
      <w:r w:rsidRPr="00023747">
        <w:rPr>
          <w:rFonts w:ascii="David" w:hAnsi="David" w:cs="David"/>
          <w:sz w:val="24"/>
          <w:szCs w:val="24"/>
          <w:rtl/>
          <w:lang w:bidi="he-IL"/>
        </w:rPr>
        <w:t>ת"ר: עריות, ושניות לעריות - אין להן לא קנס ולא פיתוי, הממאנת - אין לה לא קנס ולא פיתוי, איילונית - אין לה לא קנס ולא פיתוי, והיוצאת משום שם רע - אין לה לא קנס ולא פיתוי</w:t>
      </w:r>
      <w:r w:rsidRPr="00023747">
        <w:rPr>
          <w:rFonts w:ascii="David" w:hAnsi="David" w:cs="David"/>
          <w:sz w:val="24"/>
          <w:szCs w:val="24"/>
        </w:rPr>
        <w:t>.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תוספות מסכת כתובות דף לה עמוד ב</w:t>
      </w:r>
      <w:r w:rsidRPr="00023747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לא קנס ולא פיתוי -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אית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דגרס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ולא אונס משום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דפיתוי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נמי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קנס הוא ואומר ר"י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דגרסי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' ליה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דשייך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למיקרי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לאונס קנס טפי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מלפיתוי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משום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דאונס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שותה בעציצו (לקמן דף לט.)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תלמוד בבלי מסכת כתובות דף לט עמוד א</w:t>
      </w:r>
      <w:r w:rsidRPr="00023747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>האונס שותה בעציצו, והמפתה אם רצה להוציא - מוציא. כיצד שותה בעציצו? אפילו היא חיגרת, אפי' היא סומא, ואפילו היא מוכת שחין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ספר החינוך מצוה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תקנז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מצוה על האונס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אנוסתו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לאשה...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ונוהגת מצוה זו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לענין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הכרח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פרעון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הקנס בזכרים בזמן הבית שיש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כח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בידינו לדון דיני קנסות,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ולענין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שישאנה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האונס אף בזמן הזה היא מצוה עליו,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שהנשואין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מצוה היא ולא קנס</w:t>
      </w:r>
      <w:r w:rsidRPr="00023747">
        <w:rPr>
          <w:rFonts w:ascii="David" w:hAnsi="David" w:cs="David"/>
          <w:sz w:val="24"/>
          <w:szCs w:val="24"/>
        </w:rPr>
        <w:t>..  .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טור אבן העזר הלכות אונס ומפתה סימן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קעז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  <w:rtl/>
        </w:rPr>
      </w:pP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וקונסין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המאנס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שצריך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אפילו היא חגרת או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סומאז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>) ואינו רשאי להוציאה לעולם אלא לרצונה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שו"ת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רדב"ז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חלק א סימן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יט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שאלת ממני אודיעך דעתי במי שאנס נערה ואח"כ הודה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דקי"ל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מודה בקנס פטור אם פטור ג"כ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כיון שפטור מן הקנס או דילמא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כופין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אותה: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  <w:rtl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תשובה דבר זה לא ראיתי מפורש בא' מן המפרשים ומסתברא לי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שכופין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וישתה בעציצו. תדע דשתי מצות עשה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נינהו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א'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ליתן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הקנס וא'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וכן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מנאן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הרמב"ם ז"ל שתי מצות משמע דלא הא בהא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תלייותו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דמודה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בקנס פטור אמרי' והא לאו קנס הוא ואף על גב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דאמרינן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ואפילו חגרת ואפילו מצורעת האי לא הוי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אטעמא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/שמא צ"ל: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הויא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טעמא/ משום קנס אלא משום שהוא רצה לשתות בעציץ זה ואפילו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תימא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שהוא עונש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עונש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לאו היינו קנס והמודה בעונשו אינו נפטר ממנו ואף על גב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דקי"ל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דמי שבא ואמר עברתי עבירה פלוני הלקוני אין מלקין אותו היינו משום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אדם משים עצמו רשע אבל המודה שאנס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אשה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 שייך האי טעמא 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דהאי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לאו קנס הוא אלא ממון נתחייב להו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ליתן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לה שאר כסות ועונה ולמה יפטר בהודאתו. 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דחדוש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הוא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שחדשו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חכמים מודה בקנס פטור ואין לך בו אלא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חדושו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דוקא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קנס של ממון: 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דחדוש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גדול כזה לא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לשתמיט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חד מן הפוסקים שישמיענו אותו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הילכך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אין לנו אלא מה שאמרה תורה ולו תהיה לאשה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ובשלמא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גבי מפתה שהדין הוא שאם רצה לפרוע הקנס אינו נושא אותה כיון שהודה בקנס ונפטר ממנו נפטר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נמי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כאלו נתן את הקנס אבל גבי אונס שחייב תרתי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ולתת הקנס אפילו אם הודה בקנס ונפטר ממנו עדיין נשאר החיוב השני כמו שחייב לתת צער ובושת ופגם שהם ממון חייב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וכופין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אותו על ככה ואפשר כי מרוב פשיטות הדבר לא דברו בו הראשונים ז"ל: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קובץ שעורים כתובות אות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קכז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קכז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) [דף לה ע"ב] ד"ה לא קנס וכו'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דאונס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שותה בעציצו משמע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דשותה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בעציצו הוא בתורת קנס, וא"כ אינו נוהג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בזה"ז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ובסמ"ק וכן בחינוך כתבו,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דנוהגת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בזה"ז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דאינה קנס, וכן מוכח מדברי הרמב"ן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בסה"מ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רל"ה שכתב "ואין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קנס שאין לומר במה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שנצטוינו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לעשותו שיהיה קנס בשום פנים" אלא שדבריו צ"ע,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גם בתשלומי קנס איכא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דכתוב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חמשים כסף ישלם, ואם אינו משלם ביטל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לבד איסור גזל, ולמה אין לומר דגם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לחפשי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ילשחנו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היא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ושמא דעת הרמב"ן לומר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דכל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הקנסות אינן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אלא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דינין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שחייב לשלם, ואם אינו משלם עובר בלא תעשוק, אבל לא ביטל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וגבי נטען על הפנויה, יבמות כ"ד, כתבו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בתוס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'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ורא"ש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דאיכא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מצוה לכונסה אם ודאי בא עליה,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ותימה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קרא בנערה כתיב, ובנטען על הפנויה הא לא איירי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דוקא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בפנויה, וכן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בשו"ע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סי' קע"ז כתבו סתם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דמצוה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לכונסה ולא פירשו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דדוקא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בפנויה,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ובתשב"ץ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ח"ב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סי' רע"ג מוכח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להדיא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דקאי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גם בבוגרת, וכ'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דכיון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דהיא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מפותה אין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כופין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אותו, ומבואר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דבאנוסה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כופין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גם בבוגרת, והוא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תימה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ובסמ"ק כתב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דאם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הבועל נשוי וא"א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לישאנה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מפני חרם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דר"ג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, צריך לתת לה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נדוניא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שתוכל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להנשא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להגון, וגם זה צ"ע,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דהיכן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כתובה מצוה זו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להשיאנה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לאחר.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b/>
          <w:bCs/>
          <w:sz w:val="24"/>
          <w:szCs w:val="24"/>
          <w:u w:val="single"/>
        </w:rPr>
      </w:pPr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ספר מצוות קטן מצוה </w:t>
      </w:r>
      <w:proofErr w:type="spellStart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קפב</w:t>
      </w:r>
      <w:proofErr w:type="spellEnd"/>
      <w:r w:rsidRPr="00023747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023747" w:rsidRPr="00023747" w:rsidRDefault="00023747" w:rsidP="00023747">
      <w:pPr>
        <w:pStyle w:val="NoSpacing"/>
        <w:bidi/>
        <w:rPr>
          <w:rFonts w:ascii="David" w:hAnsi="David" w:cs="David"/>
          <w:sz w:val="24"/>
          <w:szCs w:val="24"/>
        </w:rPr>
      </w:pPr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ומכל מקום גם עתה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מכריחין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את האונס לקחת לאשה אם היא ואביה רוצים אך שתהיה מן הכשרות לבוא בקהל ואם יש לו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אשה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ויש חרם באיי הים עתה שלא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ליקח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ב' נשים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מנדין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אותו עד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שיתן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לה </w:t>
      </w:r>
      <w:proofErr w:type="spellStart"/>
      <w:r w:rsidRPr="00023747">
        <w:rPr>
          <w:rFonts w:ascii="David" w:hAnsi="David" w:cs="David"/>
          <w:sz w:val="24"/>
          <w:szCs w:val="24"/>
          <w:rtl/>
          <w:lang w:bidi="he-IL"/>
        </w:rPr>
        <w:t>נדוניא</w:t>
      </w:r>
      <w:proofErr w:type="spellEnd"/>
      <w:r w:rsidRPr="00023747">
        <w:rPr>
          <w:rFonts w:ascii="David" w:hAnsi="David" w:cs="David"/>
          <w:sz w:val="24"/>
          <w:szCs w:val="24"/>
          <w:rtl/>
          <w:lang w:bidi="he-IL"/>
        </w:rPr>
        <w:t xml:space="preserve"> להשיאה להגון לה).</w:t>
      </w:r>
    </w:p>
    <w:sectPr w:rsidR="00023747" w:rsidRPr="0002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7"/>
    <w:rsid w:val="00023747"/>
    <w:rsid w:val="00445F22"/>
    <w:rsid w:val="00853629"/>
    <w:rsid w:val="009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89F79-C7AB-410B-8022-9D72FBD2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Ziring</dc:creator>
  <cp:keywords/>
  <dc:description/>
  <cp:lastModifiedBy>Jonathan Ziring</cp:lastModifiedBy>
  <cp:revision>1</cp:revision>
  <dcterms:created xsi:type="dcterms:W3CDTF">2014-09-20T17:25:00Z</dcterms:created>
  <dcterms:modified xsi:type="dcterms:W3CDTF">2014-09-20T17:36:00Z</dcterms:modified>
</cp:coreProperties>
</file>