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line="240" w:lineRule="auto"/>
        <w:jc w:val="both"/>
        <w:rPr/>
      </w:pPr>
      <w:bookmarkStart w:colFirst="0" w:colLast="0" w:name="_3j0sth60eiaw" w:id="0"/>
      <w:bookmarkEnd w:id="0"/>
      <w:r w:rsidDel="00000000" w:rsidR="00000000" w:rsidRPr="00000000">
        <w:rPr>
          <w:rtl w:val="0"/>
        </w:rPr>
        <w:t xml:space="preserve">What about “to Err is Human”?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David Libre" w:cs="David Libre" w:eastAsia="David Libre" w:hAnsi="David Libre"/>
          <w:b w:val="1"/>
        </w:rPr>
      </w:pPr>
      <w:r w:rsidDel="00000000" w:rsidR="00000000" w:rsidRPr="00000000">
        <w:rPr>
          <w:rFonts w:ascii="David Libre" w:cs="David Libre" w:eastAsia="David Libre" w:hAnsi="David Libre"/>
          <w:b w:val="1"/>
          <w:rtl w:val="0"/>
        </w:rPr>
        <w:t xml:space="preserve">Bava Metzia 59b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David Libre" w:cs="David Libre" w:eastAsia="David Libre" w:hAnsi="David Libre"/>
        </w:rPr>
      </w:pP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On that day R. Eliezer brought forward every imaginable argument, but they did not accept them. Said he to them: 'If the </w:t>
      </w:r>
      <w:r w:rsidDel="00000000" w:rsidR="00000000" w:rsidRPr="00000000">
        <w:rPr>
          <w:rFonts w:ascii="David Libre" w:cs="David Libre" w:eastAsia="David Libre" w:hAnsi="David Libre"/>
          <w:i w:val="1"/>
          <w:rtl w:val="0"/>
        </w:rPr>
        <w:t xml:space="preserve">halachah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 agrees with me, let this carob-tree prove it!' Thereupon the carob-tree was torn a hundred cubits out of its place — others affirm, four hundred cubits. 'No proof can be brought from a carob-tree,' they retorted. Again he said to them: 'If the </w:t>
      </w:r>
      <w:r w:rsidDel="00000000" w:rsidR="00000000" w:rsidRPr="00000000">
        <w:rPr>
          <w:rFonts w:ascii="David Libre" w:cs="David Libre" w:eastAsia="David Libre" w:hAnsi="David Libre"/>
          <w:i w:val="1"/>
          <w:rtl w:val="0"/>
        </w:rPr>
        <w:t xml:space="preserve">halachah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 agrees with me, let the stream of water prove it!' Whereupon the stream of water flowed backwards — 'No proof can be brought from a stream of water,' they rejoined. Again he urged: 'If the </w:t>
      </w:r>
      <w:r w:rsidDel="00000000" w:rsidR="00000000" w:rsidRPr="00000000">
        <w:rPr>
          <w:rFonts w:ascii="David Libre" w:cs="David Libre" w:eastAsia="David Libre" w:hAnsi="David Libre"/>
          <w:i w:val="1"/>
          <w:rtl w:val="0"/>
        </w:rPr>
        <w:t xml:space="preserve">halachah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 agrees with me, let the walls of the schoolhouse prove it,' whereupon the walls inclined to fall. But R. Joshua rebuked them, saying: 'When scholars are engaged in a halachic dispute, what have ye to interfere?' Hence they did not fall, in honour of R. Joshua, nor did they resume the upright, in honour of R. Eliezer; and they are still standing thus inclined. Again he said to them: 'If the </w:t>
      </w:r>
      <w:r w:rsidDel="00000000" w:rsidR="00000000" w:rsidRPr="00000000">
        <w:rPr>
          <w:rFonts w:ascii="David Libre" w:cs="David Libre" w:eastAsia="David Libre" w:hAnsi="David Libre"/>
          <w:i w:val="1"/>
          <w:rtl w:val="0"/>
        </w:rPr>
        <w:t xml:space="preserve">halachah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 agrees with me, let it be proved from Heaven!' Whereupon a Heavenly Voice cried out: 'Why do ye dispute with R. Eliezer, seeing that in all matters the </w:t>
      </w:r>
      <w:r w:rsidDel="00000000" w:rsidR="00000000" w:rsidRPr="00000000">
        <w:rPr>
          <w:rFonts w:ascii="David Libre" w:cs="David Libre" w:eastAsia="David Libre" w:hAnsi="David Libre"/>
          <w:i w:val="1"/>
          <w:rtl w:val="0"/>
        </w:rPr>
        <w:t xml:space="preserve">halachah</w:t>
      </w:r>
      <w:r w:rsidDel="00000000" w:rsidR="00000000" w:rsidRPr="00000000">
        <w:rPr>
          <w:rFonts w:ascii="David Libre" w:cs="David Libre" w:eastAsia="David Libre" w:hAnsi="David Libre"/>
          <w:rtl w:val="0"/>
        </w:rPr>
        <w:t xml:space="preserve"> agrees with him!' But R. Joshua arose and exclaimed: 'It is not in heaven.’ What did he mean by this? — Said R. Jeremiah: That the Torah had already been given at Mount Sinai; we pay no attention to a Heavenly Voice, because Thou hast long since written in the Torah at Mount Sinai, After the majority must one incline.</w:t>
        <w:tab/>
        <w:t xml:space="preserve">R. Nathan met Elijah and asked him: What did the Holy One, Blessed be He, do in that hour? — He laughed [with joy], he replied, saying, 'My sons have defeated Me, My sons have defeated Me.'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נסים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גאון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יצאה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האחת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כמותו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סתם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שטמרה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ואיפשר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שבכל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זולתי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המקום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וטעמו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…</w:t>
      </w:r>
    </w:p>
    <w:p w:rsidR="00000000" w:rsidDel="00000000" w:rsidP="00000000" w:rsidRDefault="00000000" w:rsidRPr="00000000" w14:paraId="00000007">
      <w:pPr>
        <w:bidi w:val="1"/>
        <w:spacing w:line="240" w:lineRule="auto"/>
        <w:jc w:val="both"/>
        <w:rPr>
          <w:rFonts w:ascii="David Libre" w:cs="David Libre" w:eastAsia="David Libre" w:hAnsi="David Libr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דרשות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הדרוש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השביעי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המחלוקת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הגבורה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נחלקו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מקביים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עדויות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נמסרה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שהראהו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דקדוקי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ודקדוקי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סופרים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שסופרים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עתידים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ניהו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מגילה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דקדוקי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סופרים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המחלוקות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וחילוקי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הסברות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חכמי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וכולן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למדם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הגבורה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הכרעה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מחלוקת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ומחלוקת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בפרט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להטות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יגידו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וכשרבו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המחלוקת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קובעים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המרובים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לחכמי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נמסרה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ההכרעה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לחכמי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להכריע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במחלוקת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הקדומים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ונצטוינו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הסכמתם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שיסכימו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לאמת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להפכו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אליעזר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ומחלוקתו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במציעא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רגליו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להטות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ראו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אליעזר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מסכים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מהם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אותותיו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אמיתיים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צודקים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והכריעו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כהסכמתם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שאחר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ששכלם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נוטה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לטמא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יודעים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מסכימים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רצו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לטהר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מטהרים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ששכלם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נוטה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לטמא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שההכרעה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נמסרה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לחכמי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יסכימו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</w:p>
    <w:p w:rsidR="00000000" w:rsidDel="00000000" w:rsidP="00000000" w:rsidRDefault="00000000" w:rsidRPr="00000000" w14:paraId="0000000A">
      <w:pPr>
        <w:bidi w:val="1"/>
        <w:spacing w:line="240" w:lineRule="auto"/>
        <w:jc w:val="both"/>
        <w:rPr>
          <w:rFonts w:ascii="David Libre" w:cs="David Libre" w:eastAsia="David Libre" w:hAnsi="David Libr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הגולה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באר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הרביעי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0C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פשוט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הולכת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פרטי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חכמים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שחכמתו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זכינו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שנתנה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מסיני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הולכת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פרטי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הכלל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שנוי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הפרט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הולכין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משגיחין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בבת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הפירוש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כרבי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אליעזר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בעצמו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שהתבאר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מוכיח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'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אליעזר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שאמרה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קול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ללכת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אליעזר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ונתן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לרבי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אליעזר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חשיבת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מעלה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זאת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רצו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להטות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דכתיב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להטות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". </w:t>
      </w:r>
    </w:p>
    <w:p w:rsidR="00000000" w:rsidDel="00000000" w:rsidP="00000000" w:rsidRDefault="00000000" w:rsidRPr="00000000" w14:paraId="0000000D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קצות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החושן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הקדמה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 -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בזוהר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מחידושי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אורייתא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דבורא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חדשה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ולחדש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מלבן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דמשקר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חידושי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הקב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בחר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ונתן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הכרעת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האנושי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המחדשו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חידוש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גמור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בהכרעת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האנושי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שתלמיד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עתיד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נתחדשו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התלמיד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המחדשו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ובמדרש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בראשית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נעשו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נפגשו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שכולו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והשליכה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ותשלך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ארצה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תכשיט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רצוני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ילאה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להשיג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שורשו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תכשיט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הבריאה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האנושי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מהנמנע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להשיג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האמיתי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וכאשר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יתנהגו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העולמות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מעלמא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ועד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עלמא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מבזה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תכשיט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שלך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שחותמך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רצוני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שתעלה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הסכמת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האנושי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ולשכון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בארצינו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האמנתי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נטע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בתוכינו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להחיות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ובעבירה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להמית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מיתת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הרופאים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יסכימו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המזיק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ומועיל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הסם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ויזיק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בטבעו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להזיק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!?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בסגולת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הזאת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אנחנו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שומעים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לדברי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החכמים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להחיות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מכוונין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האמת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יזיק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מברכין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נטע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בתוכינו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ומתוכינו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יערה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עולם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ומיעוט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נחשבו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בכתב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השכיל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אנחנו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זר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נחשבו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לשכל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האנושי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להבין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בתורת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משלנו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בארצות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האמנתי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דמלה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דאתחדש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באורייתא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אתעבד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ארצות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וקאים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בארצות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פתחה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ומשום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דתורה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שבע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ניתנה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הכרעת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החכמים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אעפ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ונקרא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חסד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וכדאיתא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חסד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שופר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וסוכה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ולולב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13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שנקטם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נשתיירו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בקן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ענביו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מרובות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ירוקות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אדומות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ממעטין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כמתקן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וליקטן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שליקטן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לאכילה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הופיע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הקודש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מדרשנו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והעלינו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פסול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משנתינו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/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טרפון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/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סוכה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/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שלשתן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קטומים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כשרין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שנקטם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בחבורנו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הניחו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תלמוד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בבלי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סוטה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עזאי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נסיב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איבעית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נסיב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ופירש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ואיבעית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מרביה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שמיע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;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ואיבעית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סוד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ליראיו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פסוק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 </w:t>
      </w:r>
    </w:p>
    <w:p w:rsidR="00000000" w:rsidDel="00000000" w:rsidP="00000000" w:rsidRDefault="00000000" w:rsidRPr="00000000" w14:paraId="00000018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וענינו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בלבך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טועים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ימינך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לשמאלך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כמצותם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החלב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הגמור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אהרוג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הנקי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האדון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מצותיו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יורוני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העומדים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לפניו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יבחר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משמעות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יטעו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הכיפורים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בחשבונו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):</w:t>
      </w:r>
    </w:p>
    <w:p w:rsidR="00000000" w:rsidDel="00000000" w:rsidP="00000000" w:rsidRDefault="00000000" w:rsidRPr="00000000" w14:paraId="00000019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והצורך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וידוע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ישתוו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הנולדים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ירבו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המחלוקות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ותעשה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תורות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וחתך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העומד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יבחר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שקבלו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פירושו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ומשה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הגבורה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שיאמרו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משמעות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המקרא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כוונתה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נותן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כמחליף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רוח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השם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משרתי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מקדשו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יעזוב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חסידיו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נשמרו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הטעות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המכשול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ולשון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שופטים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קנד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בעיניך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A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דרשות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הדרוש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האחד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עשר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יהושע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גמליאל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שצוהו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גמליאל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שיבא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במעותיו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הכפורים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בחשבונו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יתברך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מסר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ההכרעה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שיסכימו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בטוחים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ובמשפטיה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מקיימים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רצון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יתברך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בהם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שנסמוך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שהסכימו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spacing w:line="240" w:lineRule="auto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ספר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החינוך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תצו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spacing w:line="240" w:lineRule="auto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משרשי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שדעות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חלוקין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ישתוו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ויודע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כתובי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סברתו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וירבה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המחלוקת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במשמעות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להטות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בכסף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תלוה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בסימן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אלהינו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החכמות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שצונו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להתנהג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האמתי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המקובל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לחכמינו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הקדמונים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הנמצאים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שקבלו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מספריהם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ויגעו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יגיעות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ובלילות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עומק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מליהם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ופליאות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דעותיהם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ההסכמה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נכוין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בידיעת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וזולת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נתפתה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מחשבותינו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ועניות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נצלח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האמת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והשבח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הגדול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המצוה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זכרונם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לברכה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ספרי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תסור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ממנו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ושמאל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יאמרו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ימין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שמאל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שמאל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ימין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תסור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ממצותם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שאפילו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יהיו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טועים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בדבר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הדברים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ראוי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לחלוק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עליהם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נעשה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כטעותם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וטוב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לסבול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טעות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ויהיו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מסורים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תחת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דעתם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הטוב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תמיד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שיעשה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ואחד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כפי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דעתו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שבזה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יהיה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חורבן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הדת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וחלוק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העם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והפסד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האומה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u w:val="single"/>
          <w:rtl w:val="1"/>
        </w:rPr>
        <w:t xml:space="preserve">לגמרי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ענינים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נמסרה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כוונת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ונצטוו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לעולם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מועטת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כפופה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המרובין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השורש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במצות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להטות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