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Pr="00D81F2F" w:rsidRDefault="00C61579" w:rsidP="00D81F2F">
      <w:pPr>
        <w:pStyle w:val="ListParagraph"/>
        <w:numPr>
          <w:ilvl w:val="0"/>
          <w:numId w:val="1"/>
        </w:numPr>
        <w:jc w:val="both"/>
        <w:rPr>
          <w:sz w:val="28"/>
          <w:szCs w:val="28"/>
        </w:rPr>
      </w:pPr>
      <w:r w:rsidRPr="00D81F2F">
        <w:rPr>
          <w:sz w:val="28"/>
          <w:szCs w:val="28"/>
        </w:rPr>
        <w:t>Questions.</w:t>
      </w:r>
    </w:p>
    <w:p w:rsidR="00C61579" w:rsidRPr="00D81F2F" w:rsidRDefault="00C61579" w:rsidP="00D81F2F">
      <w:pPr>
        <w:pStyle w:val="ListParagraph"/>
        <w:numPr>
          <w:ilvl w:val="0"/>
          <w:numId w:val="2"/>
        </w:numPr>
        <w:jc w:val="both"/>
        <w:rPr>
          <w:sz w:val="28"/>
          <w:szCs w:val="28"/>
        </w:rPr>
      </w:pPr>
      <w:r w:rsidRPr="00D81F2F">
        <w:rPr>
          <w:sz w:val="28"/>
          <w:szCs w:val="28"/>
        </w:rPr>
        <w:t xml:space="preserve">We refer to Hashem every day in two distinct ways – </w:t>
      </w:r>
      <w:r w:rsidRPr="00D81F2F">
        <w:rPr>
          <w:rFonts w:hint="cs"/>
          <w:sz w:val="28"/>
          <w:szCs w:val="28"/>
          <w:rtl/>
        </w:rPr>
        <w:t xml:space="preserve">השיבנו </w:t>
      </w:r>
      <w:r w:rsidRPr="00D81F2F">
        <w:rPr>
          <w:rFonts w:hint="cs"/>
          <w:b/>
          <w:bCs/>
          <w:sz w:val="28"/>
          <w:szCs w:val="28"/>
          <w:rtl/>
        </w:rPr>
        <w:t>אבינו</w:t>
      </w:r>
      <w:r w:rsidRPr="00D81F2F">
        <w:rPr>
          <w:rFonts w:hint="cs"/>
          <w:sz w:val="28"/>
          <w:szCs w:val="28"/>
          <w:rtl/>
        </w:rPr>
        <w:t xml:space="preserve"> לתורתיך, וקרבנו </w:t>
      </w:r>
      <w:r w:rsidRPr="00D81F2F">
        <w:rPr>
          <w:rFonts w:hint="cs"/>
          <w:b/>
          <w:bCs/>
          <w:sz w:val="28"/>
          <w:szCs w:val="28"/>
          <w:rtl/>
        </w:rPr>
        <w:t>מלכנו</w:t>
      </w:r>
      <w:r w:rsidRPr="00D81F2F">
        <w:rPr>
          <w:rFonts w:hint="cs"/>
          <w:sz w:val="28"/>
          <w:szCs w:val="28"/>
          <w:rtl/>
        </w:rPr>
        <w:t xml:space="preserve"> לעבודתך</w:t>
      </w:r>
      <w:r w:rsidRPr="00D81F2F">
        <w:rPr>
          <w:sz w:val="28"/>
          <w:szCs w:val="28"/>
        </w:rPr>
        <w:t xml:space="preserve">. Why do we refer to Hashem as a father when it comes to Torah, but as a king when it comes to </w:t>
      </w:r>
      <w:r w:rsidRPr="00D81F2F">
        <w:rPr>
          <w:rFonts w:hint="cs"/>
          <w:sz w:val="28"/>
          <w:szCs w:val="28"/>
          <w:rtl/>
        </w:rPr>
        <w:t>עבודה</w:t>
      </w:r>
      <w:r w:rsidRPr="00D81F2F">
        <w:rPr>
          <w:sz w:val="28"/>
          <w:szCs w:val="28"/>
        </w:rPr>
        <w:t xml:space="preserve">? What is the connection between Hashem as father and our </w:t>
      </w:r>
      <w:r w:rsidRPr="00D81F2F">
        <w:rPr>
          <w:rFonts w:hint="cs"/>
          <w:sz w:val="28"/>
          <w:szCs w:val="28"/>
          <w:rtl/>
        </w:rPr>
        <w:t>תורה</w:t>
      </w:r>
      <w:r w:rsidRPr="00D81F2F">
        <w:rPr>
          <w:sz w:val="28"/>
          <w:szCs w:val="28"/>
        </w:rPr>
        <w:t>?</w:t>
      </w:r>
    </w:p>
    <w:p w:rsidR="00C61579" w:rsidRPr="00D81F2F" w:rsidRDefault="00C61579" w:rsidP="00D81F2F">
      <w:pPr>
        <w:pStyle w:val="ListParagraph"/>
        <w:numPr>
          <w:ilvl w:val="0"/>
          <w:numId w:val="2"/>
        </w:numPr>
        <w:jc w:val="both"/>
        <w:rPr>
          <w:sz w:val="28"/>
          <w:szCs w:val="28"/>
        </w:rPr>
      </w:pPr>
      <w:r w:rsidRPr="00D81F2F">
        <w:rPr>
          <w:sz w:val="28"/>
          <w:szCs w:val="28"/>
        </w:rPr>
        <w:t xml:space="preserve">As we approach </w:t>
      </w:r>
      <w:r w:rsidRPr="00D81F2F">
        <w:rPr>
          <w:rFonts w:hint="cs"/>
          <w:sz w:val="28"/>
          <w:szCs w:val="28"/>
          <w:rtl/>
        </w:rPr>
        <w:t>ראש השנה</w:t>
      </w:r>
      <w:r w:rsidRPr="00D81F2F">
        <w:rPr>
          <w:sz w:val="28"/>
          <w:szCs w:val="28"/>
        </w:rPr>
        <w:t xml:space="preserve"> this week we will say the phrase </w:t>
      </w:r>
      <w:r w:rsidRPr="00D81F2F">
        <w:rPr>
          <w:rFonts w:hint="cs"/>
          <w:sz w:val="28"/>
          <w:szCs w:val="28"/>
          <w:rtl/>
        </w:rPr>
        <w:t>היום הרת עולם... אם כבנים רחמנו כרחם אב על</w:t>
      </w:r>
      <w:bookmarkStart w:id="0" w:name="_GoBack"/>
      <w:bookmarkEnd w:id="0"/>
      <w:r w:rsidRPr="00D81F2F">
        <w:rPr>
          <w:rFonts w:hint="cs"/>
          <w:sz w:val="28"/>
          <w:szCs w:val="28"/>
          <w:rtl/>
        </w:rPr>
        <w:t xml:space="preserve"> בנים, ואם כעבדים עינינו לך תלויות עד שתחננו ותוציא כאור משפטינו איום קדוש</w:t>
      </w:r>
      <w:r w:rsidRPr="00D81F2F">
        <w:rPr>
          <w:sz w:val="28"/>
          <w:szCs w:val="28"/>
        </w:rPr>
        <w:t xml:space="preserve"> – why is it that </w:t>
      </w:r>
      <w:r w:rsidRPr="00D81F2F">
        <w:rPr>
          <w:rFonts w:hint="cs"/>
          <w:sz w:val="28"/>
          <w:szCs w:val="28"/>
          <w:rtl/>
        </w:rPr>
        <w:t>עינינו לך תלויות</w:t>
      </w:r>
      <w:r w:rsidRPr="00D81F2F">
        <w:rPr>
          <w:sz w:val="28"/>
          <w:szCs w:val="28"/>
        </w:rPr>
        <w:t xml:space="preserve"> is only if we are like </w:t>
      </w:r>
      <w:r w:rsidRPr="00D81F2F">
        <w:rPr>
          <w:rFonts w:hint="cs"/>
          <w:sz w:val="28"/>
          <w:szCs w:val="28"/>
          <w:rtl/>
        </w:rPr>
        <w:t>עבדים</w:t>
      </w:r>
      <w:r w:rsidRPr="00D81F2F">
        <w:rPr>
          <w:sz w:val="28"/>
          <w:szCs w:val="28"/>
        </w:rPr>
        <w:t xml:space="preserve">? Doesn’t a small child look up to his father with a sense of dependence and comfort in the father’s presence? One would hope that both </w:t>
      </w:r>
      <w:r w:rsidRPr="00D81F2F">
        <w:rPr>
          <w:rFonts w:hint="cs"/>
          <w:sz w:val="28"/>
          <w:szCs w:val="28"/>
          <w:rtl/>
        </w:rPr>
        <w:t>בנים</w:t>
      </w:r>
      <w:r w:rsidRPr="00D81F2F">
        <w:rPr>
          <w:sz w:val="28"/>
          <w:szCs w:val="28"/>
        </w:rPr>
        <w:t xml:space="preserve"> and </w:t>
      </w:r>
      <w:r w:rsidRPr="00D81F2F">
        <w:rPr>
          <w:rFonts w:hint="cs"/>
          <w:sz w:val="28"/>
          <w:szCs w:val="28"/>
          <w:rtl/>
        </w:rPr>
        <w:t>עבדים</w:t>
      </w:r>
      <w:r w:rsidRPr="00D81F2F">
        <w:rPr>
          <w:sz w:val="28"/>
          <w:szCs w:val="28"/>
        </w:rPr>
        <w:t xml:space="preserve"> should say </w:t>
      </w:r>
      <w:r w:rsidRPr="00D81F2F">
        <w:rPr>
          <w:rFonts w:hint="cs"/>
          <w:sz w:val="28"/>
          <w:szCs w:val="28"/>
          <w:rtl/>
        </w:rPr>
        <w:t>עינינו לך תלויות</w:t>
      </w:r>
      <w:r w:rsidRPr="00D81F2F">
        <w:rPr>
          <w:sz w:val="28"/>
          <w:szCs w:val="28"/>
        </w:rPr>
        <w:t>!</w:t>
      </w:r>
    </w:p>
    <w:p w:rsidR="00C61579" w:rsidRPr="00D81F2F" w:rsidRDefault="00C61579" w:rsidP="00D81F2F">
      <w:pPr>
        <w:pStyle w:val="ListParagraph"/>
        <w:numPr>
          <w:ilvl w:val="0"/>
          <w:numId w:val="2"/>
        </w:numPr>
        <w:jc w:val="both"/>
        <w:rPr>
          <w:sz w:val="28"/>
          <w:szCs w:val="28"/>
        </w:rPr>
      </w:pPr>
      <w:r w:rsidRPr="00D81F2F">
        <w:rPr>
          <w:sz w:val="28"/>
          <w:szCs w:val="28"/>
        </w:rPr>
        <w:t xml:space="preserve">There is a fairly popular practice for people to give </w:t>
      </w:r>
      <w:r w:rsidRPr="00D81F2F">
        <w:rPr>
          <w:rFonts w:hint="cs"/>
          <w:sz w:val="28"/>
          <w:szCs w:val="28"/>
          <w:rtl/>
        </w:rPr>
        <w:t>צדקה</w:t>
      </w:r>
      <w:r w:rsidRPr="00D81F2F">
        <w:rPr>
          <w:sz w:val="28"/>
          <w:szCs w:val="28"/>
        </w:rPr>
        <w:t xml:space="preserve"> in the </w:t>
      </w:r>
      <w:r w:rsidRPr="00D81F2F">
        <w:rPr>
          <w:rFonts w:hint="cs"/>
          <w:sz w:val="28"/>
          <w:szCs w:val="28"/>
          <w:rtl/>
        </w:rPr>
        <w:t>זכות</w:t>
      </w:r>
      <w:r w:rsidRPr="00D81F2F">
        <w:rPr>
          <w:sz w:val="28"/>
          <w:szCs w:val="28"/>
        </w:rPr>
        <w:t xml:space="preserve"> of </w:t>
      </w:r>
      <w:r w:rsidRPr="00D81F2F">
        <w:rPr>
          <w:rFonts w:hint="cs"/>
          <w:sz w:val="28"/>
          <w:szCs w:val="28"/>
          <w:rtl/>
        </w:rPr>
        <w:t>ר' מאיר בעל הנס</w:t>
      </w:r>
      <w:r w:rsidRPr="00D81F2F">
        <w:rPr>
          <w:sz w:val="28"/>
          <w:szCs w:val="28"/>
        </w:rPr>
        <w:t xml:space="preserve"> – the holy </w:t>
      </w:r>
      <w:r w:rsidRPr="00D81F2F">
        <w:rPr>
          <w:rFonts w:hint="cs"/>
          <w:sz w:val="28"/>
          <w:szCs w:val="28"/>
          <w:rtl/>
        </w:rPr>
        <w:t>תנא ר' מאיר</w:t>
      </w:r>
      <w:r w:rsidRPr="00D81F2F">
        <w:rPr>
          <w:sz w:val="28"/>
          <w:szCs w:val="28"/>
        </w:rPr>
        <w:t xml:space="preserve">. Of all the Torah giants in Jewish history why would we specifically associate </w:t>
      </w:r>
      <w:r w:rsidRPr="00D81F2F">
        <w:rPr>
          <w:rFonts w:hint="cs"/>
          <w:sz w:val="28"/>
          <w:szCs w:val="28"/>
          <w:rtl/>
        </w:rPr>
        <w:t>ר' מאיר</w:t>
      </w:r>
      <w:r w:rsidRPr="00D81F2F">
        <w:rPr>
          <w:sz w:val="28"/>
          <w:szCs w:val="28"/>
        </w:rPr>
        <w:t xml:space="preserve"> with </w:t>
      </w:r>
      <w:r w:rsidRPr="00D81F2F">
        <w:rPr>
          <w:rFonts w:hint="cs"/>
          <w:sz w:val="28"/>
          <w:szCs w:val="28"/>
          <w:rtl/>
        </w:rPr>
        <w:t>צדקה</w:t>
      </w:r>
      <w:r w:rsidRPr="00D81F2F">
        <w:rPr>
          <w:sz w:val="28"/>
          <w:szCs w:val="28"/>
        </w:rPr>
        <w:t>?</w:t>
      </w:r>
    </w:p>
    <w:p w:rsidR="00E76300" w:rsidRPr="00D81F2F" w:rsidRDefault="00E76300" w:rsidP="00D81F2F">
      <w:pPr>
        <w:pStyle w:val="ListParagraph"/>
        <w:numPr>
          <w:ilvl w:val="0"/>
          <w:numId w:val="1"/>
        </w:numPr>
        <w:jc w:val="both"/>
        <w:rPr>
          <w:sz w:val="28"/>
          <w:szCs w:val="28"/>
        </w:rPr>
      </w:pPr>
      <w:r w:rsidRPr="00D81F2F">
        <w:rPr>
          <w:sz w:val="28"/>
          <w:szCs w:val="28"/>
        </w:rPr>
        <w:t>Three Ideas. In order to answer these questions it is important to know three separate ideas:</w:t>
      </w:r>
    </w:p>
    <w:p w:rsidR="00E76300" w:rsidRPr="00D81F2F" w:rsidRDefault="00E76300" w:rsidP="00D81F2F">
      <w:pPr>
        <w:pStyle w:val="ListParagraph"/>
        <w:numPr>
          <w:ilvl w:val="0"/>
          <w:numId w:val="3"/>
        </w:numPr>
        <w:jc w:val="both"/>
        <w:rPr>
          <w:sz w:val="28"/>
          <w:szCs w:val="28"/>
        </w:rPr>
      </w:pPr>
      <w:r w:rsidRPr="00D81F2F">
        <w:rPr>
          <w:sz w:val="28"/>
          <w:szCs w:val="28"/>
        </w:rPr>
        <w:t xml:space="preserve">First, there is a </w:t>
      </w:r>
      <w:r w:rsidRPr="00D81F2F">
        <w:rPr>
          <w:rFonts w:hint="cs"/>
          <w:sz w:val="28"/>
          <w:szCs w:val="28"/>
          <w:rtl/>
        </w:rPr>
        <w:t>מחלוקת ר"מ ור"י</w:t>
      </w:r>
      <w:r w:rsidRPr="00D81F2F">
        <w:rPr>
          <w:sz w:val="28"/>
          <w:szCs w:val="28"/>
        </w:rPr>
        <w:t xml:space="preserve"> in the </w:t>
      </w:r>
      <w:r w:rsidRPr="00D81F2F">
        <w:rPr>
          <w:rFonts w:hint="cs"/>
          <w:sz w:val="28"/>
          <w:szCs w:val="28"/>
          <w:rtl/>
        </w:rPr>
        <w:t>גמרא קידושין דף לו</w:t>
      </w:r>
      <w:r w:rsidRPr="00D81F2F">
        <w:rPr>
          <w:sz w:val="28"/>
          <w:szCs w:val="28"/>
        </w:rPr>
        <w:t xml:space="preserve"> whether the Jewish people are always considered </w:t>
      </w:r>
      <w:r w:rsidRPr="00D81F2F">
        <w:rPr>
          <w:rFonts w:hint="cs"/>
          <w:sz w:val="28"/>
          <w:szCs w:val="28"/>
          <w:rtl/>
        </w:rPr>
        <w:t>בנים</w:t>
      </w:r>
      <w:r w:rsidRPr="00D81F2F">
        <w:rPr>
          <w:sz w:val="28"/>
          <w:szCs w:val="28"/>
        </w:rPr>
        <w:t xml:space="preserve"> to </w:t>
      </w:r>
      <w:r w:rsidRPr="00D81F2F">
        <w:rPr>
          <w:rFonts w:hint="cs"/>
          <w:sz w:val="28"/>
          <w:szCs w:val="28"/>
          <w:rtl/>
        </w:rPr>
        <w:t>ה'</w:t>
      </w:r>
      <w:r w:rsidRPr="00D81F2F">
        <w:rPr>
          <w:sz w:val="28"/>
          <w:szCs w:val="28"/>
        </w:rPr>
        <w:t xml:space="preserve"> as </w:t>
      </w:r>
      <w:r w:rsidRPr="00D81F2F">
        <w:rPr>
          <w:rFonts w:hint="cs"/>
          <w:sz w:val="28"/>
          <w:szCs w:val="28"/>
          <w:rtl/>
        </w:rPr>
        <w:t>ר' מאיר</w:t>
      </w:r>
      <w:r w:rsidRPr="00D81F2F">
        <w:rPr>
          <w:sz w:val="28"/>
          <w:szCs w:val="28"/>
        </w:rPr>
        <w:t xml:space="preserve"> maintains, or the status of </w:t>
      </w:r>
      <w:r w:rsidRPr="00D81F2F">
        <w:rPr>
          <w:rFonts w:hint="cs"/>
          <w:sz w:val="28"/>
          <w:szCs w:val="28"/>
          <w:rtl/>
        </w:rPr>
        <w:t>בנים</w:t>
      </w:r>
      <w:r w:rsidRPr="00D81F2F">
        <w:rPr>
          <w:sz w:val="28"/>
          <w:szCs w:val="28"/>
        </w:rPr>
        <w:t xml:space="preserve"> is reserved for those times that we follow Hashem’s will, as </w:t>
      </w:r>
      <w:r w:rsidRPr="00D81F2F">
        <w:rPr>
          <w:rFonts w:hint="cs"/>
          <w:sz w:val="28"/>
          <w:szCs w:val="28"/>
          <w:rtl/>
        </w:rPr>
        <w:t>ר' יהודה</w:t>
      </w:r>
      <w:r w:rsidRPr="00D81F2F">
        <w:rPr>
          <w:sz w:val="28"/>
          <w:szCs w:val="28"/>
        </w:rPr>
        <w:t xml:space="preserve"> maintains. In </w:t>
      </w:r>
      <w:r w:rsidRPr="00D81F2F">
        <w:rPr>
          <w:rFonts w:hint="cs"/>
          <w:sz w:val="28"/>
          <w:szCs w:val="28"/>
          <w:rtl/>
        </w:rPr>
        <w:t>ר' יהודה</w:t>
      </w:r>
      <w:r w:rsidRPr="00D81F2F">
        <w:rPr>
          <w:sz w:val="28"/>
          <w:szCs w:val="28"/>
        </w:rPr>
        <w:t xml:space="preserve">’s view Hashem views a </w:t>
      </w:r>
      <w:r w:rsidRPr="00D81F2F">
        <w:rPr>
          <w:rFonts w:hint="cs"/>
          <w:sz w:val="28"/>
          <w:szCs w:val="28"/>
          <w:rtl/>
        </w:rPr>
        <w:t>כלל ישראל</w:t>
      </w:r>
      <w:r w:rsidRPr="00D81F2F">
        <w:rPr>
          <w:sz w:val="28"/>
          <w:szCs w:val="28"/>
        </w:rPr>
        <w:t xml:space="preserve"> that is not living up to the standards of </w:t>
      </w:r>
      <w:r w:rsidRPr="00D81F2F">
        <w:rPr>
          <w:rFonts w:hint="cs"/>
          <w:sz w:val="28"/>
          <w:szCs w:val="28"/>
          <w:rtl/>
        </w:rPr>
        <w:t>תורה</w:t>
      </w:r>
      <w:r w:rsidRPr="00D81F2F">
        <w:rPr>
          <w:sz w:val="28"/>
          <w:szCs w:val="28"/>
        </w:rPr>
        <w:t xml:space="preserve"> as </w:t>
      </w:r>
      <w:r w:rsidRPr="00D81F2F">
        <w:rPr>
          <w:rFonts w:hint="cs"/>
          <w:sz w:val="28"/>
          <w:szCs w:val="28"/>
          <w:rtl/>
        </w:rPr>
        <w:t>עבדים</w:t>
      </w:r>
      <w:r w:rsidRPr="00D81F2F">
        <w:rPr>
          <w:sz w:val="28"/>
          <w:szCs w:val="28"/>
        </w:rPr>
        <w:t xml:space="preserve">, and not </w:t>
      </w:r>
      <w:r w:rsidRPr="00D81F2F">
        <w:rPr>
          <w:rFonts w:hint="cs"/>
          <w:sz w:val="28"/>
          <w:szCs w:val="28"/>
          <w:rtl/>
        </w:rPr>
        <w:t>בנים</w:t>
      </w:r>
      <w:r w:rsidRPr="00D81F2F">
        <w:rPr>
          <w:sz w:val="28"/>
          <w:szCs w:val="28"/>
        </w:rPr>
        <w:t>.</w:t>
      </w:r>
    </w:p>
    <w:p w:rsidR="00E76300" w:rsidRPr="00D81F2F" w:rsidRDefault="00E76300" w:rsidP="00D81F2F">
      <w:pPr>
        <w:pStyle w:val="ListParagraph"/>
        <w:numPr>
          <w:ilvl w:val="0"/>
          <w:numId w:val="3"/>
        </w:numPr>
        <w:jc w:val="both"/>
        <w:rPr>
          <w:sz w:val="28"/>
          <w:szCs w:val="28"/>
        </w:rPr>
      </w:pPr>
      <w:r w:rsidRPr="00D81F2F">
        <w:rPr>
          <w:sz w:val="28"/>
          <w:szCs w:val="28"/>
        </w:rPr>
        <w:t xml:space="preserve">Second, there is a </w:t>
      </w:r>
      <w:r w:rsidRPr="00D81F2F">
        <w:rPr>
          <w:rFonts w:hint="cs"/>
          <w:sz w:val="28"/>
          <w:szCs w:val="28"/>
          <w:rtl/>
        </w:rPr>
        <w:t>הלכה</w:t>
      </w:r>
      <w:r w:rsidRPr="00D81F2F">
        <w:rPr>
          <w:sz w:val="28"/>
          <w:szCs w:val="28"/>
        </w:rPr>
        <w:t xml:space="preserve"> in </w:t>
      </w:r>
      <w:r w:rsidRPr="00D81F2F">
        <w:rPr>
          <w:rFonts w:hint="cs"/>
          <w:sz w:val="28"/>
          <w:szCs w:val="28"/>
          <w:rtl/>
        </w:rPr>
        <w:t>שולחן ערוך חושן משפט סימן קעה</w:t>
      </w:r>
      <w:r w:rsidRPr="00D81F2F">
        <w:rPr>
          <w:sz w:val="28"/>
          <w:szCs w:val="28"/>
        </w:rPr>
        <w:t xml:space="preserve"> that when one sells a property the first right of purchase has to be given to the neighbor. The only exception is if children are selling the property of their father. Another child takes precedence over a neighbor no matter how close to the property he lives. </w:t>
      </w:r>
    </w:p>
    <w:p w:rsidR="00E76300" w:rsidRPr="00D81F2F" w:rsidRDefault="00E76300" w:rsidP="00D81F2F">
      <w:pPr>
        <w:pStyle w:val="ListParagraph"/>
        <w:numPr>
          <w:ilvl w:val="0"/>
          <w:numId w:val="4"/>
        </w:numPr>
        <w:jc w:val="both"/>
        <w:rPr>
          <w:sz w:val="28"/>
          <w:szCs w:val="28"/>
        </w:rPr>
      </w:pPr>
      <w:proofErr w:type="spellStart"/>
      <w:r w:rsidRPr="00D81F2F">
        <w:rPr>
          <w:sz w:val="28"/>
          <w:szCs w:val="28"/>
        </w:rPr>
        <w:t>Rav</w:t>
      </w:r>
      <w:proofErr w:type="spellEnd"/>
      <w:r w:rsidRPr="00D81F2F">
        <w:rPr>
          <w:sz w:val="28"/>
          <w:szCs w:val="28"/>
        </w:rPr>
        <w:t xml:space="preserve"> Moshe Bick explains that when Hashem wanted to give us the Torah, the </w:t>
      </w:r>
      <w:r w:rsidRPr="00D81F2F">
        <w:rPr>
          <w:rFonts w:hint="cs"/>
          <w:sz w:val="28"/>
          <w:szCs w:val="28"/>
          <w:rtl/>
        </w:rPr>
        <w:t>מלאכים</w:t>
      </w:r>
      <w:r w:rsidRPr="00D81F2F">
        <w:rPr>
          <w:sz w:val="28"/>
          <w:szCs w:val="28"/>
        </w:rPr>
        <w:t xml:space="preserve"> came with a claim of </w:t>
      </w:r>
      <w:r w:rsidRPr="00D81F2F">
        <w:rPr>
          <w:rFonts w:hint="cs"/>
          <w:sz w:val="28"/>
          <w:szCs w:val="28"/>
          <w:rtl/>
        </w:rPr>
        <w:t>דינא דבר מצרא</w:t>
      </w:r>
      <w:r w:rsidRPr="00D81F2F">
        <w:rPr>
          <w:sz w:val="28"/>
          <w:szCs w:val="28"/>
        </w:rPr>
        <w:t xml:space="preserve"> – “we are closer to the Torah up in </w:t>
      </w:r>
      <w:r w:rsidRPr="00D81F2F">
        <w:rPr>
          <w:rFonts w:hint="cs"/>
          <w:sz w:val="28"/>
          <w:szCs w:val="28"/>
          <w:rtl/>
        </w:rPr>
        <w:t>שמים</w:t>
      </w:r>
      <w:r w:rsidRPr="00D81F2F">
        <w:rPr>
          <w:sz w:val="28"/>
          <w:szCs w:val="28"/>
        </w:rPr>
        <w:t xml:space="preserve"> than the Jewish people are”. </w:t>
      </w:r>
      <w:r w:rsidR="00FE0D19" w:rsidRPr="00D81F2F">
        <w:rPr>
          <w:sz w:val="28"/>
          <w:szCs w:val="28"/>
        </w:rPr>
        <w:t xml:space="preserve">The response is that the Jewish people aren’t just some other buyer, </w:t>
      </w:r>
      <w:r w:rsidR="00FE0D19" w:rsidRPr="00D81F2F">
        <w:rPr>
          <w:sz w:val="28"/>
          <w:szCs w:val="28"/>
        </w:rPr>
        <w:lastRenderedPageBreak/>
        <w:t xml:space="preserve">but are children of Hashem and therefore take precedence over any neighbors. </w:t>
      </w:r>
      <w:proofErr w:type="spellStart"/>
      <w:r w:rsidR="00FE0D19" w:rsidRPr="00D81F2F">
        <w:rPr>
          <w:sz w:val="28"/>
          <w:szCs w:val="28"/>
        </w:rPr>
        <w:t>Rav</w:t>
      </w:r>
      <w:proofErr w:type="spellEnd"/>
      <w:r w:rsidR="00FE0D19" w:rsidRPr="00D81F2F">
        <w:rPr>
          <w:sz w:val="28"/>
          <w:szCs w:val="28"/>
        </w:rPr>
        <w:t xml:space="preserve"> Bick explains that</w:t>
      </w:r>
      <w:r w:rsidRPr="00D81F2F">
        <w:rPr>
          <w:sz w:val="28"/>
          <w:szCs w:val="28"/>
        </w:rPr>
        <w:t xml:space="preserve"> this is what the </w:t>
      </w:r>
      <w:r w:rsidRPr="00D81F2F">
        <w:rPr>
          <w:rFonts w:hint="cs"/>
          <w:sz w:val="28"/>
          <w:szCs w:val="28"/>
          <w:rtl/>
        </w:rPr>
        <w:t>משנה אבות פרק ג'</w:t>
      </w:r>
      <w:r w:rsidRPr="00D81F2F">
        <w:rPr>
          <w:sz w:val="28"/>
          <w:szCs w:val="28"/>
        </w:rPr>
        <w:t xml:space="preserve"> teaches us when it says </w:t>
      </w:r>
      <w:r w:rsidRPr="00D81F2F">
        <w:rPr>
          <w:rFonts w:hint="cs"/>
          <w:sz w:val="28"/>
          <w:szCs w:val="28"/>
          <w:rtl/>
        </w:rPr>
        <w:t>חביבין ישראל שנקראו בנים למקום חביבין ישראל שניתן להם כלי חמדה</w:t>
      </w:r>
      <w:r w:rsidRPr="00D81F2F">
        <w:rPr>
          <w:sz w:val="28"/>
          <w:szCs w:val="28"/>
        </w:rPr>
        <w:t xml:space="preserve"> – the Jewish people are beloved in that we are called children of Hashem and in that Hashem gave </w:t>
      </w:r>
      <w:r w:rsidR="00FE0D19" w:rsidRPr="00D81F2F">
        <w:rPr>
          <w:sz w:val="28"/>
          <w:szCs w:val="28"/>
        </w:rPr>
        <w:t xml:space="preserve">us the Torah. The fact that we are </w:t>
      </w:r>
      <w:r w:rsidR="00FE0D19" w:rsidRPr="00D81F2F">
        <w:rPr>
          <w:rFonts w:hint="cs"/>
          <w:sz w:val="28"/>
          <w:szCs w:val="28"/>
          <w:rtl/>
        </w:rPr>
        <w:t>בנים</w:t>
      </w:r>
      <w:r w:rsidR="00FE0D19" w:rsidRPr="00D81F2F">
        <w:rPr>
          <w:sz w:val="28"/>
          <w:szCs w:val="28"/>
        </w:rPr>
        <w:t xml:space="preserve"> is the very reason that Hashem gave us the </w:t>
      </w:r>
      <w:r w:rsidR="00FE0D19" w:rsidRPr="00D81F2F">
        <w:rPr>
          <w:rFonts w:hint="cs"/>
          <w:sz w:val="28"/>
          <w:szCs w:val="28"/>
          <w:rtl/>
        </w:rPr>
        <w:t>תורה</w:t>
      </w:r>
      <w:r w:rsidR="00FE0D19" w:rsidRPr="00D81F2F">
        <w:rPr>
          <w:sz w:val="28"/>
          <w:szCs w:val="28"/>
        </w:rPr>
        <w:t xml:space="preserve">! It is our true claim to </w:t>
      </w:r>
      <w:r w:rsidR="00FE0D19" w:rsidRPr="00D81F2F">
        <w:rPr>
          <w:rFonts w:hint="cs"/>
          <w:sz w:val="28"/>
          <w:szCs w:val="28"/>
          <w:rtl/>
        </w:rPr>
        <w:t>תורה</w:t>
      </w:r>
      <w:r w:rsidR="00FE0D19" w:rsidRPr="00D81F2F">
        <w:rPr>
          <w:sz w:val="28"/>
          <w:szCs w:val="28"/>
        </w:rPr>
        <w:t>!</w:t>
      </w:r>
    </w:p>
    <w:p w:rsidR="00FE0D19" w:rsidRPr="00D81F2F" w:rsidRDefault="00FE0D19" w:rsidP="00D81F2F">
      <w:pPr>
        <w:pStyle w:val="ListParagraph"/>
        <w:numPr>
          <w:ilvl w:val="0"/>
          <w:numId w:val="3"/>
        </w:numPr>
        <w:jc w:val="both"/>
        <w:rPr>
          <w:sz w:val="28"/>
          <w:szCs w:val="28"/>
        </w:rPr>
      </w:pPr>
      <w:r w:rsidRPr="00D81F2F">
        <w:rPr>
          <w:sz w:val="28"/>
          <w:szCs w:val="28"/>
        </w:rPr>
        <w:t xml:space="preserve">Third, and finally, there is a </w:t>
      </w:r>
      <w:r w:rsidRPr="00D81F2F">
        <w:rPr>
          <w:rFonts w:hint="cs"/>
          <w:sz w:val="28"/>
          <w:szCs w:val="28"/>
          <w:rtl/>
        </w:rPr>
        <w:t>גמרא</w:t>
      </w:r>
      <w:r w:rsidRPr="00D81F2F">
        <w:rPr>
          <w:sz w:val="28"/>
          <w:szCs w:val="28"/>
        </w:rPr>
        <w:t xml:space="preserve"> in </w:t>
      </w:r>
      <w:r w:rsidRPr="00D81F2F">
        <w:rPr>
          <w:rFonts w:hint="cs"/>
          <w:sz w:val="28"/>
          <w:szCs w:val="28"/>
          <w:rtl/>
        </w:rPr>
        <w:t>מסכת בבא בתרא דף י</w:t>
      </w:r>
      <w:r w:rsidRPr="00D81F2F">
        <w:rPr>
          <w:sz w:val="28"/>
          <w:szCs w:val="28"/>
        </w:rPr>
        <w:t xml:space="preserve"> that records a discussion between </w:t>
      </w:r>
      <w:r w:rsidRPr="00D81F2F">
        <w:rPr>
          <w:rFonts w:hint="cs"/>
          <w:sz w:val="28"/>
          <w:szCs w:val="28"/>
          <w:rtl/>
        </w:rPr>
        <w:t>טורנוסרופוס הרשע</w:t>
      </w:r>
      <w:r w:rsidRPr="00D81F2F">
        <w:rPr>
          <w:sz w:val="28"/>
          <w:szCs w:val="28"/>
        </w:rPr>
        <w:t xml:space="preserve"> and </w:t>
      </w:r>
      <w:r w:rsidRPr="00D81F2F">
        <w:rPr>
          <w:rFonts w:hint="cs"/>
          <w:sz w:val="28"/>
          <w:szCs w:val="28"/>
          <w:rtl/>
        </w:rPr>
        <w:t>ר' עקיבא</w:t>
      </w:r>
      <w:r w:rsidRPr="00D81F2F">
        <w:rPr>
          <w:sz w:val="28"/>
          <w:szCs w:val="28"/>
        </w:rPr>
        <w:t xml:space="preserve">: </w:t>
      </w:r>
      <w:r w:rsidRPr="00D81F2F">
        <w:rPr>
          <w:rFonts w:hint="cs"/>
          <w:sz w:val="28"/>
          <w:szCs w:val="28"/>
          <w:rtl/>
        </w:rPr>
        <w:t>שאל טורנוסרופוס הרשע את רבי עקיבא אם אלקיכם אוהב עניים הוא מפני מה אינו מפרנסם, אמר לו כדי שניצול אנו בהן מדינה של גיהנם, אמר לו אדרבה זו שמחייבתן לגיהנם אמשול לך משל למה הדבר דומה למלך בשר ודם שכעס על עבדו וחבשו בבית האסורין וצוה עליו שלא להאכילו ושלא להשקותו והלך אדם אחד והאכילו והשקהו כששמע המלך לא כועס עליו ואתם קרוין עבדים שנאמר כי לי בני ישראל עבדים, אמר לו ר"ע אמשול לך משל למה הדבר דומה למלך בשר ודם שכעס על בנו וחבשו בבית האסורין וצוה עליו שלא להאכילו ושלא להשקותו והלך אדם אחד והאכילו והשקהו כששמע המלך לא דורון משגר לו! ואנן קרוין בנים דכתיב בנים אתם לה' אלקיכם</w:t>
      </w:r>
      <w:r w:rsidRPr="00D81F2F">
        <w:rPr>
          <w:sz w:val="28"/>
          <w:szCs w:val="28"/>
        </w:rPr>
        <w:t xml:space="preserve">. Apparently the </w:t>
      </w:r>
      <w:r w:rsidRPr="00D81F2F">
        <w:rPr>
          <w:rFonts w:hint="cs"/>
          <w:sz w:val="28"/>
          <w:szCs w:val="28"/>
          <w:rtl/>
        </w:rPr>
        <w:t>מצוה</w:t>
      </w:r>
      <w:r w:rsidRPr="00D81F2F">
        <w:rPr>
          <w:sz w:val="28"/>
          <w:szCs w:val="28"/>
        </w:rPr>
        <w:t xml:space="preserve"> of </w:t>
      </w:r>
      <w:r w:rsidRPr="00D81F2F">
        <w:rPr>
          <w:rFonts w:hint="cs"/>
          <w:sz w:val="28"/>
          <w:szCs w:val="28"/>
          <w:rtl/>
        </w:rPr>
        <w:t>צדקה</w:t>
      </w:r>
      <w:r w:rsidRPr="00D81F2F">
        <w:rPr>
          <w:sz w:val="28"/>
          <w:szCs w:val="28"/>
        </w:rPr>
        <w:t xml:space="preserve"> only makes sense if we are considered </w:t>
      </w:r>
      <w:r w:rsidRPr="00D81F2F">
        <w:rPr>
          <w:rFonts w:hint="cs"/>
          <w:sz w:val="28"/>
          <w:szCs w:val="28"/>
          <w:rtl/>
        </w:rPr>
        <w:t>בנים למקום</w:t>
      </w:r>
      <w:r w:rsidRPr="00D81F2F">
        <w:rPr>
          <w:sz w:val="28"/>
          <w:szCs w:val="28"/>
        </w:rPr>
        <w:t xml:space="preserve">, but not if we are considered </w:t>
      </w:r>
      <w:r w:rsidRPr="00D81F2F">
        <w:rPr>
          <w:rFonts w:hint="cs"/>
          <w:sz w:val="28"/>
          <w:szCs w:val="28"/>
          <w:rtl/>
        </w:rPr>
        <w:t>עבדים</w:t>
      </w:r>
      <w:r w:rsidRPr="00D81F2F">
        <w:rPr>
          <w:sz w:val="28"/>
          <w:szCs w:val="28"/>
        </w:rPr>
        <w:t>.</w:t>
      </w:r>
    </w:p>
    <w:p w:rsidR="00FE0D19" w:rsidRPr="00D81F2F" w:rsidRDefault="00FE0D19" w:rsidP="00D81F2F">
      <w:pPr>
        <w:pStyle w:val="ListParagraph"/>
        <w:numPr>
          <w:ilvl w:val="0"/>
          <w:numId w:val="1"/>
        </w:numPr>
        <w:jc w:val="both"/>
        <w:rPr>
          <w:sz w:val="28"/>
          <w:szCs w:val="28"/>
        </w:rPr>
      </w:pPr>
      <w:r w:rsidRPr="00D81F2F">
        <w:rPr>
          <w:sz w:val="28"/>
          <w:szCs w:val="28"/>
        </w:rPr>
        <w:t>Answering the Questions: When we put all three sources together the answers to our questions become clear:</w:t>
      </w:r>
    </w:p>
    <w:p w:rsidR="00FE0D19" w:rsidRPr="00D81F2F" w:rsidRDefault="00FE0D19" w:rsidP="00D81F2F">
      <w:pPr>
        <w:pStyle w:val="ListParagraph"/>
        <w:numPr>
          <w:ilvl w:val="0"/>
          <w:numId w:val="5"/>
        </w:numPr>
        <w:jc w:val="both"/>
        <w:rPr>
          <w:sz w:val="28"/>
          <w:szCs w:val="28"/>
        </w:rPr>
      </w:pPr>
      <w:r w:rsidRPr="00D81F2F">
        <w:rPr>
          <w:sz w:val="28"/>
          <w:szCs w:val="28"/>
        </w:rPr>
        <w:t xml:space="preserve">We specifically say </w:t>
      </w:r>
      <w:r w:rsidRPr="00D81F2F">
        <w:rPr>
          <w:rFonts w:hint="cs"/>
          <w:sz w:val="28"/>
          <w:szCs w:val="28"/>
          <w:rtl/>
        </w:rPr>
        <w:t>השבינו אבינו לתורתך</w:t>
      </w:r>
      <w:r w:rsidRPr="00D81F2F">
        <w:rPr>
          <w:sz w:val="28"/>
          <w:szCs w:val="28"/>
        </w:rPr>
        <w:t xml:space="preserve">, relating to Hashem as a father when relating to Him through Torah, because it is only the father son relationship that enabled </w:t>
      </w:r>
      <w:r w:rsidR="003152C9" w:rsidRPr="00D81F2F">
        <w:rPr>
          <w:sz w:val="28"/>
          <w:szCs w:val="28"/>
        </w:rPr>
        <w:t xml:space="preserve">us to receive the </w:t>
      </w:r>
      <w:r w:rsidR="003152C9" w:rsidRPr="00D81F2F">
        <w:rPr>
          <w:rFonts w:hint="cs"/>
          <w:sz w:val="28"/>
          <w:szCs w:val="28"/>
          <w:rtl/>
        </w:rPr>
        <w:t>תורה</w:t>
      </w:r>
      <w:r w:rsidR="003152C9" w:rsidRPr="00D81F2F">
        <w:rPr>
          <w:sz w:val="28"/>
          <w:szCs w:val="28"/>
        </w:rPr>
        <w:t xml:space="preserve"> in the first place.</w:t>
      </w:r>
    </w:p>
    <w:p w:rsidR="003152C9" w:rsidRPr="00D81F2F" w:rsidRDefault="003152C9" w:rsidP="00D81F2F">
      <w:pPr>
        <w:pStyle w:val="ListParagraph"/>
        <w:numPr>
          <w:ilvl w:val="0"/>
          <w:numId w:val="5"/>
        </w:numPr>
        <w:jc w:val="both"/>
        <w:rPr>
          <w:sz w:val="28"/>
          <w:szCs w:val="28"/>
        </w:rPr>
      </w:pPr>
      <w:r w:rsidRPr="00D81F2F">
        <w:rPr>
          <w:sz w:val="28"/>
          <w:szCs w:val="28"/>
        </w:rPr>
        <w:t xml:space="preserve">The </w:t>
      </w:r>
      <w:proofErr w:type="spellStart"/>
      <w:r w:rsidRPr="00D81F2F">
        <w:rPr>
          <w:sz w:val="28"/>
          <w:szCs w:val="28"/>
        </w:rPr>
        <w:t>Satmar</w:t>
      </w:r>
      <w:proofErr w:type="spellEnd"/>
      <w:r w:rsidRPr="00D81F2F">
        <w:rPr>
          <w:sz w:val="28"/>
          <w:szCs w:val="28"/>
        </w:rPr>
        <w:t xml:space="preserve"> </w:t>
      </w:r>
      <w:proofErr w:type="spellStart"/>
      <w:r w:rsidRPr="00D81F2F">
        <w:rPr>
          <w:sz w:val="28"/>
          <w:szCs w:val="28"/>
        </w:rPr>
        <w:t>Rebbe</w:t>
      </w:r>
      <w:proofErr w:type="spellEnd"/>
      <w:r w:rsidRPr="00D81F2F">
        <w:rPr>
          <w:sz w:val="28"/>
          <w:szCs w:val="28"/>
        </w:rPr>
        <w:t xml:space="preserve"> explains that the </w:t>
      </w:r>
      <w:r w:rsidRPr="00D81F2F">
        <w:rPr>
          <w:rFonts w:hint="cs"/>
          <w:sz w:val="28"/>
          <w:szCs w:val="28"/>
          <w:rtl/>
        </w:rPr>
        <w:t>גמרא עירובין דף יג</w:t>
      </w:r>
      <w:r w:rsidRPr="00D81F2F">
        <w:rPr>
          <w:sz w:val="28"/>
          <w:szCs w:val="28"/>
        </w:rPr>
        <w:t xml:space="preserve"> says that we </w:t>
      </w:r>
      <w:proofErr w:type="spellStart"/>
      <w:r w:rsidRPr="00D81F2F">
        <w:rPr>
          <w:sz w:val="28"/>
          <w:szCs w:val="28"/>
        </w:rPr>
        <w:t>pasken</w:t>
      </w:r>
      <w:proofErr w:type="spellEnd"/>
      <w:r w:rsidRPr="00D81F2F">
        <w:rPr>
          <w:sz w:val="28"/>
          <w:szCs w:val="28"/>
        </w:rPr>
        <w:t xml:space="preserve"> like </w:t>
      </w:r>
      <w:r w:rsidRPr="00D81F2F">
        <w:rPr>
          <w:rFonts w:hint="cs"/>
          <w:sz w:val="28"/>
          <w:szCs w:val="28"/>
          <w:rtl/>
        </w:rPr>
        <w:t>ר' יהודה</w:t>
      </w:r>
      <w:r w:rsidRPr="00D81F2F">
        <w:rPr>
          <w:sz w:val="28"/>
          <w:szCs w:val="28"/>
        </w:rPr>
        <w:t xml:space="preserve"> against </w:t>
      </w:r>
      <w:r w:rsidRPr="00D81F2F">
        <w:rPr>
          <w:rFonts w:hint="cs"/>
          <w:sz w:val="28"/>
          <w:szCs w:val="28"/>
          <w:rtl/>
        </w:rPr>
        <w:t>ר' מאיר</w:t>
      </w:r>
      <w:r w:rsidRPr="00D81F2F">
        <w:rPr>
          <w:sz w:val="28"/>
          <w:szCs w:val="28"/>
        </w:rPr>
        <w:t xml:space="preserve"> because </w:t>
      </w:r>
      <w:r w:rsidRPr="00D81F2F">
        <w:rPr>
          <w:rFonts w:hint="cs"/>
          <w:sz w:val="28"/>
          <w:szCs w:val="28"/>
          <w:rtl/>
        </w:rPr>
        <w:t>"גלוי וידוע לפני מי שאמר והיה העולם שאין בדורו של ר"מ כמותו ומפני מה לא קבעו הלכה כמותו מפני שלא יכלו חביריו לעמוד על סוף דעה</w:t>
      </w:r>
      <w:r w:rsidRPr="00D81F2F">
        <w:rPr>
          <w:sz w:val="28"/>
          <w:szCs w:val="28"/>
        </w:rPr>
        <w:t xml:space="preserve">. It would stand to reason that in </w:t>
      </w:r>
      <w:r w:rsidRPr="00D81F2F">
        <w:rPr>
          <w:rFonts w:hint="cs"/>
          <w:sz w:val="28"/>
          <w:szCs w:val="28"/>
          <w:rtl/>
        </w:rPr>
        <w:t>שמים</w:t>
      </w:r>
      <w:r w:rsidRPr="00D81F2F">
        <w:rPr>
          <w:sz w:val="28"/>
          <w:szCs w:val="28"/>
        </w:rPr>
        <w:t xml:space="preserve"> where Hashem is more than capable of understanding </w:t>
      </w:r>
      <w:r w:rsidRPr="00D81F2F">
        <w:rPr>
          <w:rFonts w:hint="cs"/>
          <w:sz w:val="28"/>
          <w:szCs w:val="28"/>
          <w:rtl/>
        </w:rPr>
        <w:t>ר' מאיר</w:t>
      </w:r>
      <w:r w:rsidRPr="00D81F2F">
        <w:rPr>
          <w:sz w:val="28"/>
          <w:szCs w:val="28"/>
        </w:rPr>
        <w:t xml:space="preserve">’s opinion, the </w:t>
      </w:r>
      <w:r w:rsidRPr="00D81F2F">
        <w:rPr>
          <w:rFonts w:hint="cs"/>
          <w:sz w:val="28"/>
          <w:szCs w:val="28"/>
          <w:rtl/>
        </w:rPr>
        <w:t>הלכה</w:t>
      </w:r>
      <w:r w:rsidRPr="00D81F2F">
        <w:rPr>
          <w:sz w:val="28"/>
          <w:szCs w:val="28"/>
        </w:rPr>
        <w:t xml:space="preserve"> would follow </w:t>
      </w:r>
      <w:r w:rsidRPr="00D81F2F">
        <w:rPr>
          <w:rFonts w:hint="cs"/>
          <w:sz w:val="28"/>
          <w:szCs w:val="28"/>
          <w:rtl/>
        </w:rPr>
        <w:t>ר' מאיר</w:t>
      </w:r>
      <w:r w:rsidRPr="00D81F2F">
        <w:rPr>
          <w:sz w:val="28"/>
          <w:szCs w:val="28"/>
        </w:rPr>
        <w:t xml:space="preserve">. The </w:t>
      </w:r>
      <w:proofErr w:type="spellStart"/>
      <w:r w:rsidRPr="00D81F2F">
        <w:rPr>
          <w:sz w:val="28"/>
          <w:szCs w:val="28"/>
        </w:rPr>
        <w:t>Rebbe</w:t>
      </w:r>
      <w:proofErr w:type="spellEnd"/>
      <w:r w:rsidRPr="00D81F2F">
        <w:rPr>
          <w:sz w:val="28"/>
          <w:szCs w:val="28"/>
        </w:rPr>
        <w:t xml:space="preserve"> explains that this is the meaning of the </w:t>
      </w:r>
      <w:r w:rsidRPr="00D81F2F">
        <w:rPr>
          <w:rFonts w:hint="cs"/>
          <w:sz w:val="28"/>
          <w:szCs w:val="28"/>
          <w:rtl/>
        </w:rPr>
        <w:t>תפילה</w:t>
      </w:r>
      <w:r w:rsidRPr="00D81F2F">
        <w:rPr>
          <w:sz w:val="28"/>
          <w:szCs w:val="28"/>
        </w:rPr>
        <w:t xml:space="preserve"> we say on </w:t>
      </w:r>
      <w:r w:rsidRPr="00D81F2F">
        <w:rPr>
          <w:rFonts w:hint="cs"/>
          <w:sz w:val="28"/>
          <w:szCs w:val="28"/>
          <w:rtl/>
        </w:rPr>
        <w:t>ראש השנה</w:t>
      </w:r>
      <w:r w:rsidRPr="00D81F2F">
        <w:rPr>
          <w:sz w:val="28"/>
          <w:szCs w:val="28"/>
        </w:rPr>
        <w:t xml:space="preserve"> – </w:t>
      </w:r>
      <w:r w:rsidRPr="00D81F2F">
        <w:rPr>
          <w:rFonts w:hint="cs"/>
          <w:sz w:val="28"/>
          <w:szCs w:val="28"/>
          <w:rtl/>
        </w:rPr>
        <w:t xml:space="preserve">אם </w:t>
      </w:r>
      <w:r w:rsidRPr="00D81F2F">
        <w:rPr>
          <w:rFonts w:hint="cs"/>
          <w:sz w:val="28"/>
          <w:szCs w:val="28"/>
          <w:rtl/>
        </w:rPr>
        <w:lastRenderedPageBreak/>
        <w:t>כבנים רחמנו כרחם אב על הבנים</w:t>
      </w:r>
      <w:r w:rsidRPr="00D81F2F">
        <w:rPr>
          <w:sz w:val="28"/>
          <w:szCs w:val="28"/>
        </w:rPr>
        <w:t xml:space="preserve"> – if we are sons then we ask Hashem to treat us as such. And if Hashem is viewing us as </w:t>
      </w:r>
      <w:r w:rsidRPr="00D81F2F">
        <w:rPr>
          <w:rFonts w:hint="cs"/>
          <w:sz w:val="28"/>
          <w:szCs w:val="28"/>
          <w:rtl/>
        </w:rPr>
        <w:t>עבדים</w:t>
      </w:r>
      <w:r w:rsidRPr="00D81F2F">
        <w:rPr>
          <w:sz w:val="28"/>
          <w:szCs w:val="28"/>
        </w:rPr>
        <w:t xml:space="preserve"> we remind Him that </w:t>
      </w:r>
      <w:r w:rsidRPr="00D81F2F">
        <w:rPr>
          <w:rFonts w:hint="cs"/>
          <w:sz w:val="28"/>
          <w:szCs w:val="28"/>
          <w:rtl/>
        </w:rPr>
        <w:t>לך עינינו תלויות</w:t>
      </w:r>
      <w:r w:rsidRPr="00D81F2F">
        <w:rPr>
          <w:sz w:val="28"/>
          <w:szCs w:val="28"/>
        </w:rPr>
        <w:t xml:space="preserve"> – we are looking </w:t>
      </w:r>
      <w:r w:rsidR="00577F42" w:rsidRPr="00D81F2F">
        <w:rPr>
          <w:sz w:val="28"/>
          <w:szCs w:val="28"/>
        </w:rPr>
        <w:t xml:space="preserve">at how Hashem would view the </w:t>
      </w:r>
      <w:r w:rsidR="00577F42" w:rsidRPr="00D81F2F">
        <w:rPr>
          <w:rFonts w:hint="cs"/>
          <w:sz w:val="28"/>
          <w:szCs w:val="28"/>
          <w:rtl/>
        </w:rPr>
        <w:t>מחלוקת ר"מ ור"י</w:t>
      </w:r>
      <w:r w:rsidR="00577F42" w:rsidRPr="00D81F2F">
        <w:rPr>
          <w:sz w:val="28"/>
          <w:szCs w:val="28"/>
        </w:rPr>
        <w:t xml:space="preserve">, where we can </w:t>
      </w:r>
      <w:proofErr w:type="spellStart"/>
      <w:r w:rsidR="00577F42" w:rsidRPr="00D81F2F">
        <w:rPr>
          <w:sz w:val="28"/>
          <w:szCs w:val="28"/>
        </w:rPr>
        <w:t>pasken</w:t>
      </w:r>
      <w:proofErr w:type="spellEnd"/>
      <w:r w:rsidR="00577F42" w:rsidRPr="00D81F2F">
        <w:rPr>
          <w:sz w:val="28"/>
          <w:szCs w:val="28"/>
        </w:rPr>
        <w:t xml:space="preserve"> like </w:t>
      </w:r>
      <w:r w:rsidR="00577F42" w:rsidRPr="00D81F2F">
        <w:rPr>
          <w:rFonts w:hint="cs"/>
          <w:sz w:val="28"/>
          <w:szCs w:val="28"/>
          <w:rtl/>
        </w:rPr>
        <w:t>ר' מאיר</w:t>
      </w:r>
      <w:r w:rsidR="00577F42" w:rsidRPr="00D81F2F">
        <w:rPr>
          <w:sz w:val="28"/>
          <w:szCs w:val="28"/>
        </w:rPr>
        <w:t xml:space="preserve"> that the Jewish people are </w:t>
      </w:r>
      <w:r w:rsidR="00577F42" w:rsidRPr="00D81F2F">
        <w:rPr>
          <w:i/>
          <w:iCs/>
          <w:sz w:val="28"/>
          <w:szCs w:val="28"/>
        </w:rPr>
        <w:t>always</w:t>
      </w:r>
      <w:r w:rsidR="00577F42" w:rsidRPr="00D81F2F">
        <w:rPr>
          <w:sz w:val="28"/>
          <w:szCs w:val="28"/>
        </w:rPr>
        <w:t xml:space="preserve"> </w:t>
      </w:r>
      <w:r w:rsidR="00577F42" w:rsidRPr="00D81F2F">
        <w:rPr>
          <w:rFonts w:hint="cs"/>
          <w:sz w:val="28"/>
          <w:szCs w:val="28"/>
          <w:rtl/>
        </w:rPr>
        <w:t>בנים</w:t>
      </w:r>
      <w:r w:rsidR="00577F42" w:rsidRPr="00D81F2F">
        <w:rPr>
          <w:sz w:val="28"/>
          <w:szCs w:val="28"/>
        </w:rPr>
        <w:t xml:space="preserve"> whether we behave like it or not.</w:t>
      </w:r>
    </w:p>
    <w:p w:rsidR="00577F42" w:rsidRPr="00D81F2F" w:rsidRDefault="00577F42" w:rsidP="00D81F2F">
      <w:pPr>
        <w:pStyle w:val="ListParagraph"/>
        <w:numPr>
          <w:ilvl w:val="0"/>
          <w:numId w:val="5"/>
        </w:numPr>
        <w:jc w:val="both"/>
        <w:rPr>
          <w:sz w:val="28"/>
          <w:szCs w:val="28"/>
        </w:rPr>
      </w:pPr>
      <w:r w:rsidRPr="00D81F2F">
        <w:rPr>
          <w:sz w:val="28"/>
          <w:szCs w:val="28"/>
        </w:rPr>
        <w:t xml:space="preserve">In light of the </w:t>
      </w:r>
      <w:r w:rsidRPr="00D81F2F">
        <w:rPr>
          <w:rFonts w:hint="cs"/>
          <w:sz w:val="28"/>
          <w:szCs w:val="28"/>
          <w:rtl/>
        </w:rPr>
        <w:t>גמרא בבא בתרא</w:t>
      </w:r>
      <w:r w:rsidRPr="00D81F2F">
        <w:rPr>
          <w:sz w:val="28"/>
          <w:szCs w:val="28"/>
        </w:rPr>
        <w:t xml:space="preserve"> that the </w:t>
      </w:r>
      <w:r w:rsidRPr="00D81F2F">
        <w:rPr>
          <w:rFonts w:hint="cs"/>
          <w:sz w:val="28"/>
          <w:szCs w:val="28"/>
          <w:rtl/>
        </w:rPr>
        <w:t>מצוה</w:t>
      </w:r>
      <w:r w:rsidRPr="00D81F2F">
        <w:rPr>
          <w:sz w:val="28"/>
          <w:szCs w:val="28"/>
        </w:rPr>
        <w:t xml:space="preserve"> of </w:t>
      </w:r>
      <w:r w:rsidRPr="00D81F2F">
        <w:rPr>
          <w:rFonts w:hint="cs"/>
          <w:sz w:val="28"/>
          <w:szCs w:val="28"/>
          <w:rtl/>
        </w:rPr>
        <w:t>צדקה</w:t>
      </w:r>
      <w:r w:rsidRPr="00D81F2F">
        <w:rPr>
          <w:sz w:val="28"/>
          <w:szCs w:val="28"/>
        </w:rPr>
        <w:t xml:space="preserve"> only makes sense if we are </w:t>
      </w:r>
      <w:r w:rsidRPr="00D81F2F">
        <w:rPr>
          <w:rFonts w:hint="cs"/>
          <w:sz w:val="28"/>
          <w:szCs w:val="28"/>
          <w:rtl/>
        </w:rPr>
        <w:t>בנים למקום</w:t>
      </w:r>
      <w:r w:rsidRPr="00D81F2F">
        <w:rPr>
          <w:sz w:val="28"/>
          <w:szCs w:val="28"/>
        </w:rPr>
        <w:t xml:space="preserve">, it is reasonable that the </w:t>
      </w:r>
      <w:r w:rsidRPr="00D81F2F">
        <w:rPr>
          <w:rFonts w:hint="cs"/>
          <w:sz w:val="28"/>
          <w:szCs w:val="28"/>
          <w:rtl/>
        </w:rPr>
        <w:t>צדקה</w:t>
      </w:r>
      <w:r w:rsidRPr="00D81F2F">
        <w:rPr>
          <w:sz w:val="28"/>
          <w:szCs w:val="28"/>
        </w:rPr>
        <w:t xml:space="preserve"> we give should be associated with </w:t>
      </w:r>
      <w:r w:rsidRPr="00D81F2F">
        <w:rPr>
          <w:rFonts w:hint="cs"/>
          <w:sz w:val="28"/>
          <w:szCs w:val="28"/>
          <w:rtl/>
        </w:rPr>
        <w:t>ר' מאיר</w:t>
      </w:r>
      <w:r w:rsidRPr="00D81F2F">
        <w:rPr>
          <w:sz w:val="28"/>
          <w:szCs w:val="28"/>
        </w:rPr>
        <w:t xml:space="preserve"> who reminds us that we are always </w:t>
      </w:r>
      <w:r w:rsidRPr="00D81F2F">
        <w:rPr>
          <w:rFonts w:hint="cs"/>
          <w:sz w:val="28"/>
          <w:szCs w:val="28"/>
          <w:rtl/>
        </w:rPr>
        <w:t>בנים</w:t>
      </w:r>
      <w:r w:rsidRPr="00D81F2F">
        <w:rPr>
          <w:sz w:val="28"/>
          <w:szCs w:val="28"/>
        </w:rPr>
        <w:t>.</w:t>
      </w:r>
    </w:p>
    <w:p w:rsidR="00577F42" w:rsidRPr="00D81F2F" w:rsidRDefault="00577F42" w:rsidP="00D81F2F">
      <w:pPr>
        <w:pStyle w:val="ListParagraph"/>
        <w:numPr>
          <w:ilvl w:val="0"/>
          <w:numId w:val="1"/>
        </w:numPr>
        <w:jc w:val="both"/>
        <w:rPr>
          <w:sz w:val="28"/>
          <w:szCs w:val="28"/>
        </w:rPr>
      </w:pPr>
      <w:r w:rsidRPr="00D81F2F">
        <w:rPr>
          <w:sz w:val="28"/>
          <w:szCs w:val="28"/>
        </w:rPr>
        <w:t xml:space="preserve">As we approach </w:t>
      </w:r>
      <w:r w:rsidRPr="00D81F2F">
        <w:rPr>
          <w:rFonts w:hint="cs"/>
          <w:sz w:val="28"/>
          <w:szCs w:val="28"/>
          <w:rtl/>
        </w:rPr>
        <w:t>ה'</w:t>
      </w:r>
      <w:r w:rsidRPr="00D81F2F">
        <w:rPr>
          <w:sz w:val="28"/>
          <w:szCs w:val="28"/>
        </w:rPr>
        <w:t xml:space="preserve"> on </w:t>
      </w:r>
      <w:r w:rsidRPr="00D81F2F">
        <w:rPr>
          <w:rFonts w:hint="cs"/>
          <w:sz w:val="28"/>
          <w:szCs w:val="28"/>
          <w:rtl/>
        </w:rPr>
        <w:t>ראש השנה</w:t>
      </w:r>
      <w:r w:rsidRPr="00D81F2F">
        <w:rPr>
          <w:sz w:val="28"/>
          <w:szCs w:val="28"/>
        </w:rPr>
        <w:t xml:space="preserve"> when we will be </w:t>
      </w:r>
      <w:r w:rsidRPr="00D81F2F">
        <w:rPr>
          <w:rFonts w:hint="cs"/>
          <w:sz w:val="28"/>
          <w:szCs w:val="28"/>
          <w:rtl/>
        </w:rPr>
        <w:t>ממליך</w:t>
      </w:r>
      <w:r w:rsidRPr="00D81F2F">
        <w:rPr>
          <w:sz w:val="28"/>
          <w:szCs w:val="28"/>
        </w:rPr>
        <w:t xml:space="preserve"> the </w:t>
      </w:r>
      <w:r w:rsidRPr="00D81F2F">
        <w:rPr>
          <w:rFonts w:hint="cs"/>
          <w:sz w:val="28"/>
          <w:szCs w:val="28"/>
          <w:rtl/>
        </w:rPr>
        <w:t>רבונו של עולם</w:t>
      </w:r>
      <w:r w:rsidRPr="00D81F2F">
        <w:rPr>
          <w:sz w:val="28"/>
          <w:szCs w:val="28"/>
        </w:rPr>
        <w:t xml:space="preserve">, it is important that we remember that we are not only </w:t>
      </w:r>
      <w:r w:rsidRPr="00D81F2F">
        <w:rPr>
          <w:rFonts w:hint="cs"/>
          <w:sz w:val="28"/>
          <w:szCs w:val="28"/>
          <w:rtl/>
        </w:rPr>
        <w:t>עבדים</w:t>
      </w:r>
      <w:r w:rsidRPr="00D81F2F">
        <w:rPr>
          <w:sz w:val="28"/>
          <w:szCs w:val="28"/>
        </w:rPr>
        <w:t xml:space="preserve"> of a </w:t>
      </w:r>
      <w:r w:rsidRPr="00D81F2F">
        <w:rPr>
          <w:rFonts w:hint="cs"/>
          <w:sz w:val="28"/>
          <w:szCs w:val="28"/>
          <w:rtl/>
        </w:rPr>
        <w:t>מלך</w:t>
      </w:r>
      <w:r w:rsidRPr="00D81F2F">
        <w:rPr>
          <w:sz w:val="28"/>
          <w:szCs w:val="28"/>
        </w:rPr>
        <w:t xml:space="preserve">, but also </w:t>
      </w:r>
      <w:r w:rsidRPr="00D81F2F">
        <w:rPr>
          <w:rFonts w:hint="cs"/>
          <w:sz w:val="28"/>
          <w:szCs w:val="28"/>
          <w:rtl/>
        </w:rPr>
        <w:t>בנים</w:t>
      </w:r>
      <w:r w:rsidRPr="00D81F2F">
        <w:rPr>
          <w:sz w:val="28"/>
          <w:szCs w:val="28"/>
        </w:rPr>
        <w:t xml:space="preserve"> of </w:t>
      </w:r>
      <w:proofErr w:type="gramStart"/>
      <w:r w:rsidRPr="00D81F2F">
        <w:rPr>
          <w:sz w:val="28"/>
          <w:szCs w:val="28"/>
        </w:rPr>
        <w:t>an</w:t>
      </w:r>
      <w:proofErr w:type="gramEnd"/>
      <w:r w:rsidRPr="00D81F2F">
        <w:rPr>
          <w:sz w:val="28"/>
          <w:szCs w:val="28"/>
        </w:rPr>
        <w:t xml:space="preserve"> </w:t>
      </w:r>
      <w:r w:rsidRPr="00D81F2F">
        <w:rPr>
          <w:rFonts w:hint="cs"/>
          <w:sz w:val="28"/>
          <w:szCs w:val="28"/>
          <w:rtl/>
        </w:rPr>
        <w:t>אב</w:t>
      </w:r>
      <w:r w:rsidRPr="00D81F2F">
        <w:rPr>
          <w:sz w:val="28"/>
          <w:szCs w:val="28"/>
        </w:rPr>
        <w:t xml:space="preserve">. Hashem is our father and a child can demand a father’s </w:t>
      </w:r>
      <w:r w:rsidRPr="00D81F2F">
        <w:rPr>
          <w:rFonts w:hint="cs"/>
          <w:sz w:val="28"/>
          <w:szCs w:val="28"/>
          <w:rtl/>
        </w:rPr>
        <w:t>רחמנות</w:t>
      </w:r>
      <w:r w:rsidRPr="00D81F2F">
        <w:rPr>
          <w:sz w:val="28"/>
          <w:szCs w:val="28"/>
        </w:rPr>
        <w:t>.</w:t>
      </w:r>
    </w:p>
    <w:p w:rsidR="00577F42" w:rsidRPr="00D81F2F" w:rsidRDefault="00577F42" w:rsidP="00D81F2F">
      <w:pPr>
        <w:pStyle w:val="ListParagraph"/>
        <w:numPr>
          <w:ilvl w:val="0"/>
          <w:numId w:val="6"/>
        </w:numPr>
        <w:jc w:val="both"/>
        <w:rPr>
          <w:sz w:val="28"/>
          <w:szCs w:val="28"/>
        </w:rPr>
      </w:pPr>
      <w:r w:rsidRPr="00D81F2F">
        <w:rPr>
          <w:sz w:val="28"/>
          <w:szCs w:val="28"/>
        </w:rPr>
        <w:t xml:space="preserve">My good friend Rabbi </w:t>
      </w:r>
      <w:proofErr w:type="spellStart"/>
      <w:r w:rsidRPr="00D81F2F">
        <w:rPr>
          <w:sz w:val="28"/>
          <w:szCs w:val="28"/>
        </w:rPr>
        <w:t>Yechiel</w:t>
      </w:r>
      <w:proofErr w:type="spellEnd"/>
      <w:r w:rsidRPr="00D81F2F">
        <w:rPr>
          <w:sz w:val="28"/>
          <w:szCs w:val="28"/>
        </w:rPr>
        <w:t xml:space="preserve"> </w:t>
      </w:r>
      <w:proofErr w:type="spellStart"/>
      <w:r w:rsidRPr="00D81F2F">
        <w:rPr>
          <w:sz w:val="28"/>
          <w:szCs w:val="28"/>
        </w:rPr>
        <w:t>Weberman</w:t>
      </w:r>
      <w:proofErr w:type="spellEnd"/>
      <w:r w:rsidRPr="00D81F2F">
        <w:rPr>
          <w:sz w:val="28"/>
          <w:szCs w:val="28"/>
        </w:rPr>
        <w:t xml:space="preserve"> told me this week that last summer when he was working in Camp Dora Golding there was a </w:t>
      </w:r>
      <w:proofErr w:type="spellStart"/>
      <w:r w:rsidRPr="00D81F2F">
        <w:rPr>
          <w:sz w:val="28"/>
          <w:szCs w:val="28"/>
        </w:rPr>
        <w:t>torah</w:t>
      </w:r>
      <w:proofErr w:type="spellEnd"/>
      <w:r w:rsidRPr="00D81F2F">
        <w:rPr>
          <w:sz w:val="28"/>
          <w:szCs w:val="28"/>
        </w:rPr>
        <w:t xml:space="preserve"> incentive program for the campers. Those who collected the most “dollars” by doing a variety of </w:t>
      </w:r>
      <w:r w:rsidRPr="00D81F2F">
        <w:rPr>
          <w:rFonts w:hint="cs"/>
          <w:sz w:val="28"/>
          <w:szCs w:val="28"/>
          <w:rtl/>
        </w:rPr>
        <w:t>מצוות</w:t>
      </w:r>
      <w:r w:rsidRPr="00D81F2F">
        <w:rPr>
          <w:sz w:val="28"/>
          <w:szCs w:val="28"/>
        </w:rPr>
        <w:t xml:space="preserve"> were able to redeem the “dollar” coupons for prizes. The child of one of the camp directors had spent the entire summer collecting “dollars” and had put all of them in his pants pocket. He then put his pants in the wash and all of the dollar coupons were destroyed. The young boy was hysterical. After all that work he lost all those coupons. He was crying to his older sister who had been looking for a </w:t>
      </w:r>
      <w:proofErr w:type="spellStart"/>
      <w:r w:rsidRPr="00D81F2F">
        <w:rPr>
          <w:sz w:val="28"/>
          <w:szCs w:val="28"/>
        </w:rPr>
        <w:t>shidduch</w:t>
      </w:r>
      <w:proofErr w:type="spellEnd"/>
      <w:r w:rsidRPr="00D81F2F">
        <w:rPr>
          <w:sz w:val="28"/>
          <w:szCs w:val="28"/>
        </w:rPr>
        <w:t xml:space="preserve"> for some time. She was struggling with the whole </w:t>
      </w:r>
      <w:r w:rsidRPr="00D81F2F">
        <w:rPr>
          <w:rFonts w:hint="cs"/>
          <w:sz w:val="28"/>
          <w:szCs w:val="28"/>
          <w:rtl/>
        </w:rPr>
        <w:t>שידוך</w:t>
      </w:r>
      <w:r w:rsidRPr="00D81F2F">
        <w:rPr>
          <w:sz w:val="28"/>
          <w:szCs w:val="28"/>
        </w:rPr>
        <w:t xml:space="preserve"> scene and was starting to get depressed by the entire process.</w:t>
      </w:r>
      <w:r w:rsidR="00812908" w:rsidRPr="00D81F2F">
        <w:rPr>
          <w:sz w:val="28"/>
          <w:szCs w:val="28"/>
        </w:rPr>
        <w:t xml:space="preserve"> As her brother was crying to her she looked at him and reminded him “your father runs the entire program – I am sure he can fix this problem”. Hearing </w:t>
      </w:r>
      <w:proofErr w:type="gramStart"/>
      <w:r w:rsidR="00812908" w:rsidRPr="00D81F2F">
        <w:rPr>
          <w:sz w:val="28"/>
          <w:szCs w:val="28"/>
        </w:rPr>
        <w:t>herself</w:t>
      </w:r>
      <w:proofErr w:type="gramEnd"/>
      <w:r w:rsidR="00812908" w:rsidRPr="00D81F2F">
        <w:rPr>
          <w:sz w:val="28"/>
          <w:szCs w:val="28"/>
        </w:rPr>
        <w:t xml:space="preserve"> say these words “your father runs the entire program” provided her with a moment of sudden comfort. </w:t>
      </w:r>
      <w:r w:rsidR="00D81F2F" w:rsidRPr="00D81F2F">
        <w:rPr>
          <w:sz w:val="28"/>
          <w:szCs w:val="28"/>
        </w:rPr>
        <w:t xml:space="preserve">After </w:t>
      </w:r>
      <w:proofErr w:type="gramStart"/>
      <w:r w:rsidR="00D81F2F" w:rsidRPr="00D81F2F">
        <w:rPr>
          <w:sz w:val="28"/>
          <w:szCs w:val="28"/>
        </w:rPr>
        <w:t>all the</w:t>
      </w:r>
      <w:proofErr w:type="gramEnd"/>
      <w:r w:rsidR="00D81F2F" w:rsidRPr="00D81F2F">
        <w:rPr>
          <w:sz w:val="28"/>
          <w:szCs w:val="28"/>
        </w:rPr>
        <w:t xml:space="preserve"> struggle with dating, and whatever else adults genuinely struggle with, we just have to remember that “our father runs the entire program”. That should provide us with a deep sense of comfort and confidence.</w:t>
      </w:r>
    </w:p>
    <w:sectPr w:rsidR="00577F42" w:rsidRPr="00D81F2F" w:rsidSect="00D81F2F">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8F" w:rsidRDefault="0088178F" w:rsidP="00C61579">
      <w:pPr>
        <w:spacing w:line="240" w:lineRule="auto"/>
      </w:pPr>
      <w:r>
        <w:separator/>
      </w:r>
    </w:p>
  </w:endnote>
  <w:endnote w:type="continuationSeparator" w:id="0">
    <w:p w:rsidR="0088178F" w:rsidRDefault="0088178F" w:rsidP="00C61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596291"/>
      <w:docPartObj>
        <w:docPartGallery w:val="Page Numbers (Bottom of Page)"/>
        <w:docPartUnique/>
      </w:docPartObj>
    </w:sdtPr>
    <w:sdtEndPr>
      <w:rPr>
        <w:color w:val="808080" w:themeColor="background1" w:themeShade="80"/>
        <w:spacing w:val="60"/>
      </w:rPr>
    </w:sdtEndPr>
    <w:sdtContent>
      <w:p w:rsidR="00D81F2F" w:rsidRDefault="00D81F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81F2F">
          <w:rPr>
            <w:b/>
            <w:bCs/>
            <w:noProof/>
          </w:rPr>
          <w:t>1</w:t>
        </w:r>
        <w:r>
          <w:rPr>
            <w:b/>
            <w:bCs/>
            <w:noProof/>
          </w:rPr>
          <w:fldChar w:fldCharType="end"/>
        </w:r>
        <w:r>
          <w:rPr>
            <w:b/>
            <w:bCs/>
          </w:rPr>
          <w:t xml:space="preserve"> | </w:t>
        </w:r>
        <w:r>
          <w:rPr>
            <w:color w:val="808080" w:themeColor="background1" w:themeShade="80"/>
            <w:spacing w:val="60"/>
          </w:rPr>
          <w:t>Page</w:t>
        </w:r>
      </w:p>
    </w:sdtContent>
  </w:sdt>
  <w:p w:rsidR="00D81F2F" w:rsidRDefault="00D81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8F" w:rsidRDefault="0088178F" w:rsidP="00C61579">
      <w:pPr>
        <w:spacing w:line="240" w:lineRule="auto"/>
      </w:pPr>
      <w:r>
        <w:separator/>
      </w:r>
    </w:p>
  </w:footnote>
  <w:footnote w:type="continuationSeparator" w:id="0">
    <w:p w:rsidR="0088178F" w:rsidRDefault="0088178F" w:rsidP="00C615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597E7BE1C464805B36D64BE401744D3"/>
      </w:placeholder>
      <w:dataBinding w:prefixMappings="xmlns:ns0='http://schemas.openxmlformats.org/package/2006/metadata/core-properties' xmlns:ns1='http://purl.org/dc/elements/1.1/'" w:xpath="/ns0:coreProperties[1]/ns1:title[1]" w:storeItemID="{6C3C8BC8-F283-45AE-878A-BAB7291924A1}"/>
      <w:text/>
    </w:sdtPr>
    <w:sdtContent>
      <w:p w:rsidR="00C61579" w:rsidRDefault="00C61579" w:rsidP="00C6157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Netzavim-Vayeilech</w:t>
        </w:r>
        <w:proofErr w:type="spellEnd"/>
        <w:r>
          <w:rPr>
            <w:rFonts w:asciiTheme="majorHAnsi" w:eastAsiaTheme="majorEastAsia" w:hAnsiTheme="majorHAnsi" w:cstheme="majorBidi"/>
            <w:sz w:val="32"/>
            <w:szCs w:val="32"/>
          </w:rPr>
          <w:t xml:space="preserve"> 5774 – </w:t>
        </w:r>
        <w:proofErr w:type="spellStart"/>
        <w:r>
          <w:rPr>
            <w:rFonts w:asciiTheme="majorHAnsi" w:eastAsiaTheme="majorEastAsia" w:hAnsiTheme="majorHAnsi" w:cstheme="majorBidi"/>
            <w:sz w:val="32"/>
            <w:szCs w:val="32"/>
          </w:rPr>
          <w:t>Tatte</w:t>
        </w:r>
        <w:proofErr w:type="spellEnd"/>
        <w:r>
          <w:rPr>
            <w:rFonts w:asciiTheme="majorHAnsi" w:eastAsiaTheme="majorEastAsia" w:hAnsiTheme="majorHAnsi" w:cstheme="majorBidi"/>
            <w:sz w:val="32"/>
            <w:szCs w:val="32"/>
          </w:rPr>
          <w:t xml:space="preserve"> in </w:t>
        </w:r>
        <w:proofErr w:type="spellStart"/>
        <w:r>
          <w:rPr>
            <w:rFonts w:asciiTheme="majorHAnsi" w:eastAsiaTheme="majorEastAsia" w:hAnsiTheme="majorHAnsi" w:cstheme="majorBidi"/>
            <w:sz w:val="32"/>
            <w:szCs w:val="32"/>
          </w:rPr>
          <w:t>Himmel</w:t>
        </w:r>
        <w:proofErr w:type="spellEnd"/>
      </w:p>
    </w:sdtContent>
  </w:sdt>
  <w:p w:rsidR="00C61579" w:rsidRDefault="00C61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D28"/>
    <w:multiLevelType w:val="hybridMultilevel"/>
    <w:tmpl w:val="FB5C80BE"/>
    <w:lvl w:ilvl="0" w:tplc="8DA0C2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796279"/>
    <w:multiLevelType w:val="hybridMultilevel"/>
    <w:tmpl w:val="0F2A174C"/>
    <w:lvl w:ilvl="0" w:tplc="A21A5B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BF03E4"/>
    <w:multiLevelType w:val="hybridMultilevel"/>
    <w:tmpl w:val="CBE23A34"/>
    <w:lvl w:ilvl="0" w:tplc="D24EA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FF7A29"/>
    <w:multiLevelType w:val="hybridMultilevel"/>
    <w:tmpl w:val="542A5C08"/>
    <w:lvl w:ilvl="0" w:tplc="D58AC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7D37AD"/>
    <w:multiLevelType w:val="hybridMultilevel"/>
    <w:tmpl w:val="8A5428A0"/>
    <w:lvl w:ilvl="0" w:tplc="B75A9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24746E7"/>
    <w:multiLevelType w:val="hybridMultilevel"/>
    <w:tmpl w:val="E3945C2C"/>
    <w:lvl w:ilvl="0" w:tplc="6EA89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79"/>
    <w:rsid w:val="003152C9"/>
    <w:rsid w:val="005369B7"/>
    <w:rsid w:val="00577F42"/>
    <w:rsid w:val="00812908"/>
    <w:rsid w:val="0088178F"/>
    <w:rsid w:val="00C61579"/>
    <w:rsid w:val="00CA1CEA"/>
    <w:rsid w:val="00D81F2F"/>
    <w:rsid w:val="00E225E2"/>
    <w:rsid w:val="00E76300"/>
    <w:rsid w:val="00FE0D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579"/>
    <w:pPr>
      <w:tabs>
        <w:tab w:val="center" w:pos="4680"/>
        <w:tab w:val="right" w:pos="9360"/>
      </w:tabs>
      <w:spacing w:line="240" w:lineRule="auto"/>
    </w:pPr>
  </w:style>
  <w:style w:type="character" w:customStyle="1" w:styleId="HeaderChar">
    <w:name w:val="Header Char"/>
    <w:basedOn w:val="DefaultParagraphFont"/>
    <w:link w:val="Header"/>
    <w:uiPriority w:val="99"/>
    <w:rsid w:val="00C61579"/>
  </w:style>
  <w:style w:type="paragraph" w:styleId="Footer">
    <w:name w:val="footer"/>
    <w:basedOn w:val="Normal"/>
    <w:link w:val="FooterChar"/>
    <w:uiPriority w:val="99"/>
    <w:unhideWhenUsed/>
    <w:rsid w:val="00C61579"/>
    <w:pPr>
      <w:tabs>
        <w:tab w:val="center" w:pos="4680"/>
        <w:tab w:val="right" w:pos="9360"/>
      </w:tabs>
      <w:spacing w:line="240" w:lineRule="auto"/>
    </w:pPr>
  </w:style>
  <w:style w:type="character" w:customStyle="1" w:styleId="FooterChar">
    <w:name w:val="Footer Char"/>
    <w:basedOn w:val="DefaultParagraphFont"/>
    <w:link w:val="Footer"/>
    <w:uiPriority w:val="99"/>
    <w:rsid w:val="00C61579"/>
  </w:style>
  <w:style w:type="paragraph" w:styleId="BalloonText">
    <w:name w:val="Balloon Text"/>
    <w:basedOn w:val="Normal"/>
    <w:link w:val="BalloonTextChar"/>
    <w:uiPriority w:val="99"/>
    <w:semiHidden/>
    <w:unhideWhenUsed/>
    <w:rsid w:val="00C615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79"/>
    <w:rPr>
      <w:rFonts w:ascii="Tahoma" w:hAnsi="Tahoma" w:cs="Tahoma"/>
      <w:sz w:val="16"/>
      <w:szCs w:val="16"/>
    </w:rPr>
  </w:style>
  <w:style w:type="paragraph" w:styleId="ListParagraph">
    <w:name w:val="List Paragraph"/>
    <w:basedOn w:val="Normal"/>
    <w:uiPriority w:val="34"/>
    <w:qFormat/>
    <w:rsid w:val="00C61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579"/>
    <w:pPr>
      <w:tabs>
        <w:tab w:val="center" w:pos="4680"/>
        <w:tab w:val="right" w:pos="9360"/>
      </w:tabs>
      <w:spacing w:line="240" w:lineRule="auto"/>
    </w:pPr>
  </w:style>
  <w:style w:type="character" w:customStyle="1" w:styleId="HeaderChar">
    <w:name w:val="Header Char"/>
    <w:basedOn w:val="DefaultParagraphFont"/>
    <w:link w:val="Header"/>
    <w:uiPriority w:val="99"/>
    <w:rsid w:val="00C61579"/>
  </w:style>
  <w:style w:type="paragraph" w:styleId="Footer">
    <w:name w:val="footer"/>
    <w:basedOn w:val="Normal"/>
    <w:link w:val="FooterChar"/>
    <w:uiPriority w:val="99"/>
    <w:unhideWhenUsed/>
    <w:rsid w:val="00C61579"/>
    <w:pPr>
      <w:tabs>
        <w:tab w:val="center" w:pos="4680"/>
        <w:tab w:val="right" w:pos="9360"/>
      </w:tabs>
      <w:spacing w:line="240" w:lineRule="auto"/>
    </w:pPr>
  </w:style>
  <w:style w:type="character" w:customStyle="1" w:styleId="FooterChar">
    <w:name w:val="Footer Char"/>
    <w:basedOn w:val="DefaultParagraphFont"/>
    <w:link w:val="Footer"/>
    <w:uiPriority w:val="99"/>
    <w:rsid w:val="00C61579"/>
  </w:style>
  <w:style w:type="paragraph" w:styleId="BalloonText">
    <w:name w:val="Balloon Text"/>
    <w:basedOn w:val="Normal"/>
    <w:link w:val="BalloonTextChar"/>
    <w:uiPriority w:val="99"/>
    <w:semiHidden/>
    <w:unhideWhenUsed/>
    <w:rsid w:val="00C615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79"/>
    <w:rPr>
      <w:rFonts w:ascii="Tahoma" w:hAnsi="Tahoma" w:cs="Tahoma"/>
      <w:sz w:val="16"/>
      <w:szCs w:val="16"/>
    </w:rPr>
  </w:style>
  <w:style w:type="paragraph" w:styleId="ListParagraph">
    <w:name w:val="List Paragraph"/>
    <w:basedOn w:val="Normal"/>
    <w:uiPriority w:val="34"/>
    <w:qFormat/>
    <w:rsid w:val="00C6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97E7BE1C464805B36D64BE401744D3"/>
        <w:category>
          <w:name w:val="General"/>
          <w:gallery w:val="placeholder"/>
        </w:category>
        <w:types>
          <w:type w:val="bbPlcHdr"/>
        </w:types>
        <w:behaviors>
          <w:behavior w:val="content"/>
        </w:behaviors>
        <w:guid w:val="{A2C1E949-52AB-40D9-B344-3A49D685D3B8}"/>
      </w:docPartPr>
      <w:docPartBody>
        <w:p w:rsidR="00000000" w:rsidRDefault="00363713" w:rsidP="00363713">
          <w:pPr>
            <w:pStyle w:val="7597E7BE1C464805B36D64BE401744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13"/>
    <w:rsid w:val="00363713"/>
    <w:rsid w:val="00673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7E7BE1C464805B36D64BE401744D3">
    <w:name w:val="7597E7BE1C464805B36D64BE401744D3"/>
    <w:rsid w:val="003637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7E7BE1C464805B36D64BE401744D3">
    <w:name w:val="7597E7BE1C464805B36D64BE401744D3"/>
    <w:rsid w:val="00363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Netzavim-Vayeilech 5774 – Tatte in Himmel</vt:lpstr>
    </vt:vector>
  </TitlesOfParts>
  <Company>Hewlett-Packard</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Netzavim-Vayeilech 5774 – Tatte in Himmel</dc:title>
  <dc:creator>aryeh</dc:creator>
  <cp:lastModifiedBy>aryeh</cp:lastModifiedBy>
  <cp:revision>2</cp:revision>
  <dcterms:created xsi:type="dcterms:W3CDTF">2014-09-19T20:27:00Z</dcterms:created>
  <dcterms:modified xsi:type="dcterms:W3CDTF">2014-09-19T20:27:00Z</dcterms:modified>
</cp:coreProperties>
</file>