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Pr="001216E0" w:rsidRDefault="005960DE" w:rsidP="001216E0">
      <w:pPr>
        <w:pStyle w:val="ListParagraph"/>
        <w:numPr>
          <w:ilvl w:val="0"/>
          <w:numId w:val="1"/>
        </w:numPr>
        <w:jc w:val="both"/>
        <w:rPr>
          <w:sz w:val="28"/>
          <w:szCs w:val="28"/>
        </w:rPr>
      </w:pPr>
      <w:r w:rsidRPr="001216E0">
        <w:rPr>
          <w:sz w:val="28"/>
          <w:szCs w:val="28"/>
        </w:rPr>
        <w:t xml:space="preserve">Questions. </w:t>
      </w:r>
    </w:p>
    <w:p w:rsidR="005960DE" w:rsidRPr="001216E0" w:rsidRDefault="005960DE" w:rsidP="001216E0">
      <w:pPr>
        <w:pStyle w:val="ListParagraph"/>
        <w:numPr>
          <w:ilvl w:val="0"/>
          <w:numId w:val="2"/>
        </w:numPr>
        <w:jc w:val="both"/>
        <w:rPr>
          <w:sz w:val="28"/>
          <w:szCs w:val="28"/>
        </w:rPr>
      </w:pPr>
      <w:r w:rsidRPr="001216E0">
        <w:rPr>
          <w:sz w:val="28"/>
          <w:szCs w:val="28"/>
        </w:rPr>
        <w:t xml:space="preserve">On </w:t>
      </w:r>
      <w:r w:rsidRPr="001216E0">
        <w:rPr>
          <w:rFonts w:hint="cs"/>
          <w:sz w:val="28"/>
          <w:szCs w:val="28"/>
          <w:rtl/>
        </w:rPr>
        <w:t>סוכות</w:t>
      </w:r>
      <w:r w:rsidRPr="001216E0">
        <w:rPr>
          <w:sz w:val="28"/>
          <w:szCs w:val="28"/>
        </w:rPr>
        <w:t xml:space="preserve"> we have two separate </w:t>
      </w:r>
      <w:r w:rsidRPr="001216E0">
        <w:rPr>
          <w:rFonts w:hint="cs"/>
          <w:sz w:val="28"/>
          <w:szCs w:val="28"/>
          <w:rtl/>
        </w:rPr>
        <w:t>מצוות</w:t>
      </w:r>
      <w:r w:rsidRPr="001216E0">
        <w:rPr>
          <w:sz w:val="28"/>
          <w:szCs w:val="28"/>
        </w:rPr>
        <w:t xml:space="preserve"> that seem to have nothing to do with each other. On the one hand we have the </w:t>
      </w:r>
      <w:r w:rsidRPr="001216E0">
        <w:rPr>
          <w:rFonts w:hint="cs"/>
          <w:sz w:val="28"/>
          <w:szCs w:val="28"/>
          <w:rtl/>
        </w:rPr>
        <w:t>מצוה</w:t>
      </w:r>
      <w:r w:rsidRPr="001216E0">
        <w:rPr>
          <w:sz w:val="28"/>
          <w:szCs w:val="28"/>
        </w:rPr>
        <w:t xml:space="preserve"> of </w:t>
      </w:r>
      <w:r w:rsidRPr="001216E0">
        <w:rPr>
          <w:rFonts w:hint="cs"/>
          <w:sz w:val="28"/>
          <w:szCs w:val="28"/>
          <w:rtl/>
        </w:rPr>
        <w:t>סוכה</w:t>
      </w:r>
      <w:r w:rsidRPr="001216E0">
        <w:rPr>
          <w:sz w:val="28"/>
          <w:szCs w:val="28"/>
        </w:rPr>
        <w:t xml:space="preserve"> which is clearly retrospective in nature, commemorating the past when </w:t>
      </w:r>
      <w:r w:rsidRPr="001216E0">
        <w:rPr>
          <w:rFonts w:hint="cs"/>
          <w:sz w:val="28"/>
          <w:szCs w:val="28"/>
          <w:rtl/>
        </w:rPr>
        <w:t>בסוכות השובתי את בני ישראל</w:t>
      </w:r>
      <w:r w:rsidRPr="001216E0">
        <w:rPr>
          <w:sz w:val="28"/>
          <w:szCs w:val="28"/>
        </w:rPr>
        <w:t xml:space="preserve">. On the other hand we have </w:t>
      </w:r>
      <w:r w:rsidRPr="001216E0">
        <w:rPr>
          <w:rFonts w:hint="cs"/>
          <w:sz w:val="28"/>
          <w:szCs w:val="28"/>
          <w:rtl/>
        </w:rPr>
        <w:t>ד' מינם</w:t>
      </w:r>
      <w:r w:rsidRPr="001216E0">
        <w:rPr>
          <w:sz w:val="28"/>
          <w:szCs w:val="28"/>
        </w:rPr>
        <w:t xml:space="preserve"> which are very much a celebration of the present in achieving our goals </w:t>
      </w:r>
      <w:r w:rsidRPr="001216E0">
        <w:rPr>
          <w:rFonts w:hint="cs"/>
          <w:sz w:val="28"/>
          <w:szCs w:val="28"/>
          <w:rtl/>
        </w:rPr>
        <w:t>בימי הדין</w:t>
      </w:r>
      <w:r w:rsidRPr="001216E0">
        <w:rPr>
          <w:sz w:val="28"/>
          <w:szCs w:val="28"/>
        </w:rPr>
        <w:t xml:space="preserve">. Why are both of these </w:t>
      </w:r>
      <w:r w:rsidRPr="001216E0">
        <w:rPr>
          <w:rFonts w:hint="cs"/>
          <w:sz w:val="28"/>
          <w:szCs w:val="28"/>
          <w:rtl/>
        </w:rPr>
        <w:t>מצוות</w:t>
      </w:r>
      <w:r w:rsidRPr="001216E0">
        <w:rPr>
          <w:sz w:val="28"/>
          <w:szCs w:val="28"/>
        </w:rPr>
        <w:t xml:space="preserve">, which don’t seem at all connected, observed </w:t>
      </w:r>
      <w:bookmarkStart w:id="0" w:name="_GoBack"/>
      <w:bookmarkEnd w:id="0"/>
      <w:r w:rsidRPr="001216E0">
        <w:rPr>
          <w:sz w:val="28"/>
          <w:szCs w:val="28"/>
        </w:rPr>
        <w:t>on the same day?</w:t>
      </w:r>
    </w:p>
    <w:p w:rsidR="005960DE" w:rsidRPr="001216E0" w:rsidRDefault="005960DE" w:rsidP="001216E0">
      <w:pPr>
        <w:pStyle w:val="ListParagraph"/>
        <w:numPr>
          <w:ilvl w:val="0"/>
          <w:numId w:val="3"/>
        </w:numPr>
        <w:jc w:val="both"/>
        <w:rPr>
          <w:sz w:val="28"/>
          <w:szCs w:val="28"/>
        </w:rPr>
      </w:pPr>
      <w:r w:rsidRPr="001216E0">
        <w:rPr>
          <w:sz w:val="28"/>
          <w:szCs w:val="28"/>
        </w:rPr>
        <w:t xml:space="preserve">There is an opinion, which is not accepted in </w:t>
      </w:r>
      <w:r w:rsidRPr="001216E0">
        <w:rPr>
          <w:rFonts w:hint="cs"/>
          <w:sz w:val="28"/>
          <w:szCs w:val="28"/>
          <w:rtl/>
        </w:rPr>
        <w:t>הלכה</w:t>
      </w:r>
      <w:r w:rsidRPr="001216E0">
        <w:rPr>
          <w:sz w:val="28"/>
          <w:szCs w:val="28"/>
        </w:rPr>
        <w:t xml:space="preserve">, that the </w:t>
      </w:r>
      <w:r w:rsidRPr="001216E0">
        <w:rPr>
          <w:rFonts w:hint="cs"/>
          <w:sz w:val="28"/>
          <w:szCs w:val="28"/>
          <w:rtl/>
        </w:rPr>
        <w:t>גמרא</w:t>
      </w:r>
      <w:r w:rsidRPr="001216E0">
        <w:rPr>
          <w:sz w:val="28"/>
          <w:szCs w:val="28"/>
        </w:rPr>
        <w:t xml:space="preserve"> records, where only the </w:t>
      </w:r>
      <w:r w:rsidRPr="001216E0">
        <w:rPr>
          <w:rFonts w:hint="cs"/>
          <w:sz w:val="28"/>
          <w:szCs w:val="28"/>
          <w:rtl/>
        </w:rPr>
        <w:t>ד' מינים</w:t>
      </w:r>
      <w:r w:rsidRPr="001216E0">
        <w:rPr>
          <w:sz w:val="28"/>
          <w:szCs w:val="28"/>
        </w:rPr>
        <w:t xml:space="preserve"> are </w:t>
      </w:r>
      <w:r w:rsidRPr="001216E0">
        <w:rPr>
          <w:rFonts w:hint="cs"/>
          <w:sz w:val="28"/>
          <w:szCs w:val="28"/>
          <w:rtl/>
        </w:rPr>
        <w:t>כשר לסכך</w:t>
      </w:r>
      <w:r w:rsidRPr="001216E0">
        <w:rPr>
          <w:sz w:val="28"/>
          <w:szCs w:val="28"/>
        </w:rPr>
        <w:t xml:space="preserve">, a clear attempt at a link between the two </w:t>
      </w:r>
      <w:r w:rsidRPr="001216E0">
        <w:rPr>
          <w:rFonts w:hint="cs"/>
          <w:sz w:val="28"/>
          <w:szCs w:val="28"/>
          <w:rtl/>
        </w:rPr>
        <w:t>מצוות</w:t>
      </w:r>
      <w:r w:rsidRPr="001216E0">
        <w:rPr>
          <w:sz w:val="28"/>
          <w:szCs w:val="28"/>
        </w:rPr>
        <w:t>. But what is the link?</w:t>
      </w:r>
    </w:p>
    <w:p w:rsidR="005960DE" w:rsidRPr="001216E0" w:rsidRDefault="005960DE" w:rsidP="001216E0">
      <w:pPr>
        <w:pStyle w:val="ListParagraph"/>
        <w:numPr>
          <w:ilvl w:val="0"/>
          <w:numId w:val="2"/>
        </w:numPr>
        <w:jc w:val="both"/>
        <w:rPr>
          <w:sz w:val="28"/>
          <w:szCs w:val="28"/>
        </w:rPr>
      </w:pPr>
      <w:r w:rsidRPr="001216E0">
        <w:rPr>
          <w:sz w:val="28"/>
          <w:szCs w:val="28"/>
        </w:rPr>
        <w:t xml:space="preserve">Interestingly, none of these </w:t>
      </w:r>
      <w:r w:rsidRPr="001216E0">
        <w:rPr>
          <w:rFonts w:hint="cs"/>
          <w:sz w:val="28"/>
          <w:szCs w:val="28"/>
          <w:rtl/>
        </w:rPr>
        <w:t>מצוות</w:t>
      </w:r>
      <w:r w:rsidRPr="001216E0">
        <w:rPr>
          <w:sz w:val="28"/>
          <w:szCs w:val="28"/>
        </w:rPr>
        <w:t xml:space="preserve"> </w:t>
      </w:r>
      <w:proofErr w:type="gramStart"/>
      <w:r w:rsidRPr="001216E0">
        <w:rPr>
          <w:sz w:val="28"/>
          <w:szCs w:val="28"/>
        </w:rPr>
        <w:t>seem</w:t>
      </w:r>
      <w:proofErr w:type="gramEnd"/>
      <w:r w:rsidRPr="001216E0">
        <w:rPr>
          <w:sz w:val="28"/>
          <w:szCs w:val="28"/>
        </w:rPr>
        <w:t xml:space="preserve"> to have anything to do with the real theme of the day as described by the </w:t>
      </w:r>
      <w:r w:rsidRPr="001216E0">
        <w:rPr>
          <w:rFonts w:hint="cs"/>
          <w:sz w:val="28"/>
          <w:szCs w:val="28"/>
          <w:rtl/>
        </w:rPr>
        <w:t>תורה</w:t>
      </w:r>
      <w:r w:rsidRPr="001216E0">
        <w:rPr>
          <w:sz w:val="28"/>
          <w:szCs w:val="28"/>
        </w:rPr>
        <w:t xml:space="preserve"> – the </w:t>
      </w:r>
      <w:r w:rsidRPr="001216E0">
        <w:rPr>
          <w:rFonts w:hint="cs"/>
          <w:sz w:val="28"/>
          <w:szCs w:val="28"/>
          <w:rtl/>
        </w:rPr>
        <w:t>חג האסיף</w:t>
      </w:r>
      <w:r w:rsidRPr="001216E0">
        <w:rPr>
          <w:sz w:val="28"/>
          <w:szCs w:val="28"/>
        </w:rPr>
        <w:t xml:space="preserve"> – a celebration of gathering in our grains. The only thing we do on </w:t>
      </w:r>
      <w:r w:rsidRPr="001216E0">
        <w:rPr>
          <w:rFonts w:hint="cs"/>
          <w:sz w:val="28"/>
          <w:szCs w:val="28"/>
          <w:rtl/>
        </w:rPr>
        <w:t>סוכות</w:t>
      </w:r>
      <w:r w:rsidRPr="001216E0">
        <w:rPr>
          <w:sz w:val="28"/>
          <w:szCs w:val="28"/>
        </w:rPr>
        <w:t xml:space="preserve"> that seems to address this theme, is the reading of </w:t>
      </w:r>
      <w:r w:rsidRPr="001216E0">
        <w:rPr>
          <w:rFonts w:hint="cs"/>
          <w:sz w:val="28"/>
          <w:szCs w:val="28"/>
          <w:rtl/>
        </w:rPr>
        <w:t>קהלת</w:t>
      </w:r>
      <w:r w:rsidRPr="001216E0">
        <w:rPr>
          <w:sz w:val="28"/>
          <w:szCs w:val="28"/>
        </w:rPr>
        <w:t xml:space="preserve"> on </w:t>
      </w:r>
      <w:r w:rsidRPr="001216E0">
        <w:rPr>
          <w:rFonts w:hint="cs"/>
          <w:sz w:val="28"/>
          <w:szCs w:val="28"/>
          <w:rtl/>
        </w:rPr>
        <w:t>שבת חוה"מ</w:t>
      </w:r>
      <w:r w:rsidRPr="001216E0">
        <w:rPr>
          <w:sz w:val="28"/>
          <w:szCs w:val="28"/>
        </w:rPr>
        <w:t xml:space="preserve">. How do the </w:t>
      </w:r>
      <w:r w:rsidRPr="001216E0">
        <w:rPr>
          <w:rFonts w:hint="cs"/>
          <w:sz w:val="28"/>
          <w:szCs w:val="28"/>
          <w:rtl/>
        </w:rPr>
        <w:t>מצוות היום</w:t>
      </w:r>
      <w:r w:rsidRPr="001216E0">
        <w:rPr>
          <w:sz w:val="28"/>
          <w:szCs w:val="28"/>
        </w:rPr>
        <w:t xml:space="preserve"> fit with the </w:t>
      </w:r>
      <w:r w:rsidRPr="001216E0">
        <w:rPr>
          <w:rFonts w:hint="cs"/>
          <w:sz w:val="28"/>
          <w:szCs w:val="28"/>
          <w:rtl/>
        </w:rPr>
        <w:t>תורה</w:t>
      </w:r>
      <w:r w:rsidRPr="001216E0">
        <w:rPr>
          <w:sz w:val="28"/>
          <w:szCs w:val="28"/>
        </w:rPr>
        <w:t>’s presentation of the theme of the day?</w:t>
      </w:r>
    </w:p>
    <w:p w:rsidR="005960DE" w:rsidRPr="001216E0" w:rsidRDefault="005960DE" w:rsidP="001216E0">
      <w:pPr>
        <w:pStyle w:val="ListParagraph"/>
        <w:numPr>
          <w:ilvl w:val="0"/>
          <w:numId w:val="2"/>
        </w:numPr>
        <w:jc w:val="both"/>
        <w:rPr>
          <w:sz w:val="28"/>
          <w:szCs w:val="28"/>
        </w:rPr>
      </w:pPr>
      <w:r w:rsidRPr="001216E0">
        <w:rPr>
          <w:sz w:val="28"/>
          <w:szCs w:val="28"/>
        </w:rPr>
        <w:t xml:space="preserve">The </w:t>
      </w:r>
      <w:r w:rsidRPr="001216E0">
        <w:rPr>
          <w:rFonts w:hint="cs"/>
          <w:sz w:val="28"/>
          <w:szCs w:val="28"/>
          <w:rtl/>
        </w:rPr>
        <w:t>ספר החינוך</w:t>
      </w:r>
      <w:r w:rsidRPr="001216E0">
        <w:rPr>
          <w:sz w:val="28"/>
          <w:szCs w:val="28"/>
        </w:rPr>
        <w:t xml:space="preserve"> writes: </w:t>
      </w:r>
      <w:r w:rsidRPr="001216E0">
        <w:rPr>
          <w:rFonts w:hint="cs"/>
          <w:sz w:val="28"/>
          <w:szCs w:val="28"/>
          <w:rtl/>
        </w:rPr>
        <w:t>לפי שימי החג הם ימי שמחה גדולה לישראל כי הוא עת אסיפת התבואות ופירות האילן בבית ואז ישמחו בני אדם שמחה רבה ומפני כן נקרא חג האסיף וצוה הא-ל לעמו לעשות לפניו חג באותו העת לשכותם להיות עיקר השמחה לשמו יתברך</w:t>
      </w:r>
      <w:r w:rsidRPr="001216E0">
        <w:rPr>
          <w:sz w:val="28"/>
          <w:szCs w:val="28"/>
        </w:rPr>
        <w:t xml:space="preserve"> – essentially, the idea of </w:t>
      </w:r>
      <w:r w:rsidRPr="001216E0">
        <w:rPr>
          <w:rFonts w:hint="cs"/>
          <w:sz w:val="28"/>
          <w:szCs w:val="28"/>
          <w:rtl/>
        </w:rPr>
        <w:t>סוכות</w:t>
      </w:r>
      <w:r w:rsidRPr="001216E0">
        <w:rPr>
          <w:sz w:val="28"/>
          <w:szCs w:val="28"/>
        </w:rPr>
        <w:t xml:space="preserve"> is to take the natural joy that we feel and channel it to the service of </w:t>
      </w:r>
      <w:proofErr w:type="spellStart"/>
      <w:r w:rsidRPr="001216E0">
        <w:rPr>
          <w:sz w:val="28"/>
          <w:szCs w:val="28"/>
        </w:rPr>
        <w:t>Hashem</w:t>
      </w:r>
      <w:proofErr w:type="spellEnd"/>
      <w:r w:rsidRPr="001216E0">
        <w:rPr>
          <w:sz w:val="28"/>
          <w:szCs w:val="28"/>
        </w:rPr>
        <w:t xml:space="preserve">. But the idea that material success brings us joy or blessing in any </w:t>
      </w:r>
      <w:proofErr w:type="gramStart"/>
      <w:r w:rsidRPr="001216E0">
        <w:rPr>
          <w:sz w:val="28"/>
          <w:szCs w:val="28"/>
        </w:rPr>
        <w:t>way,</w:t>
      </w:r>
      <w:proofErr w:type="gramEnd"/>
      <w:r w:rsidRPr="001216E0">
        <w:rPr>
          <w:sz w:val="28"/>
          <w:szCs w:val="28"/>
        </w:rPr>
        <w:t xml:space="preserve"> is quite a </w:t>
      </w:r>
      <w:r w:rsidRPr="001216E0">
        <w:rPr>
          <w:rFonts w:hint="cs"/>
          <w:sz w:val="28"/>
          <w:szCs w:val="28"/>
          <w:rtl/>
        </w:rPr>
        <w:t>חידוש</w:t>
      </w:r>
      <w:r w:rsidRPr="001216E0">
        <w:rPr>
          <w:sz w:val="28"/>
          <w:szCs w:val="28"/>
        </w:rPr>
        <w:t xml:space="preserve">. After all, the </w:t>
      </w:r>
      <w:r w:rsidRPr="001216E0">
        <w:rPr>
          <w:rFonts w:hint="cs"/>
          <w:sz w:val="28"/>
          <w:szCs w:val="28"/>
          <w:rtl/>
        </w:rPr>
        <w:t>גמרא חגיגה דף ט</w:t>
      </w:r>
      <w:r w:rsidRPr="001216E0">
        <w:rPr>
          <w:sz w:val="28"/>
          <w:szCs w:val="28"/>
        </w:rPr>
        <w:t xml:space="preserve"> tells us </w:t>
      </w:r>
      <w:r w:rsidRPr="001216E0">
        <w:rPr>
          <w:rFonts w:hint="cs"/>
          <w:sz w:val="28"/>
          <w:szCs w:val="28"/>
          <w:rtl/>
        </w:rPr>
        <w:t>יאה עניותא ליהודאי</w:t>
      </w:r>
      <w:r w:rsidRPr="001216E0">
        <w:rPr>
          <w:sz w:val="28"/>
          <w:szCs w:val="28"/>
        </w:rPr>
        <w:t xml:space="preserve"> – Jews are better off being poor. We just read in </w:t>
      </w:r>
      <w:r w:rsidRPr="001216E0">
        <w:rPr>
          <w:rFonts w:hint="cs"/>
          <w:sz w:val="28"/>
          <w:szCs w:val="28"/>
          <w:rtl/>
        </w:rPr>
        <w:t>פרשת האזינו</w:t>
      </w:r>
      <w:r w:rsidRPr="001216E0">
        <w:rPr>
          <w:sz w:val="28"/>
          <w:szCs w:val="28"/>
        </w:rPr>
        <w:t xml:space="preserve"> that </w:t>
      </w:r>
      <w:r w:rsidRPr="001216E0">
        <w:rPr>
          <w:rFonts w:hint="cs"/>
          <w:sz w:val="28"/>
          <w:szCs w:val="28"/>
          <w:rtl/>
        </w:rPr>
        <w:t>וישמן ישורון ויבעט שמנת עבית כשית ויטוש אלו-ה עשהו וינבל צור ישועתו</w:t>
      </w:r>
      <w:r w:rsidRPr="001216E0">
        <w:rPr>
          <w:sz w:val="28"/>
          <w:szCs w:val="28"/>
        </w:rPr>
        <w:t xml:space="preserve"> – “</w:t>
      </w:r>
      <w:proofErr w:type="spellStart"/>
      <w:r w:rsidRPr="001216E0">
        <w:rPr>
          <w:sz w:val="28"/>
          <w:szCs w:val="28"/>
        </w:rPr>
        <w:t>Yeshurun</w:t>
      </w:r>
      <w:proofErr w:type="spellEnd"/>
      <w:r w:rsidRPr="001216E0">
        <w:rPr>
          <w:sz w:val="28"/>
          <w:szCs w:val="28"/>
        </w:rPr>
        <w:t xml:space="preserve"> shall become fat and rebel; you have grown fat, thickened, corpulent. They will forsake God Who made them and scorn the </w:t>
      </w:r>
      <w:proofErr w:type="spellStart"/>
      <w:r w:rsidRPr="001216E0">
        <w:rPr>
          <w:sz w:val="28"/>
          <w:szCs w:val="28"/>
        </w:rPr>
        <w:t>Roch</w:t>
      </w:r>
      <w:proofErr w:type="spellEnd"/>
      <w:r w:rsidRPr="001216E0">
        <w:rPr>
          <w:sz w:val="28"/>
          <w:szCs w:val="28"/>
        </w:rPr>
        <w:t xml:space="preserve"> of their salvation”.</w:t>
      </w:r>
      <w:r w:rsidR="00F31E34" w:rsidRPr="001216E0">
        <w:rPr>
          <w:sz w:val="28"/>
          <w:szCs w:val="28"/>
        </w:rPr>
        <w:t xml:space="preserve"> Essentially, material success leads us down a road that will ultimately lead to </w:t>
      </w:r>
      <w:r w:rsidR="00F31E34" w:rsidRPr="001216E0">
        <w:rPr>
          <w:rFonts w:hint="cs"/>
          <w:sz w:val="28"/>
          <w:szCs w:val="28"/>
          <w:rtl/>
        </w:rPr>
        <w:t>עבודה זרה</w:t>
      </w:r>
      <w:r w:rsidR="00F31E34" w:rsidRPr="001216E0">
        <w:rPr>
          <w:sz w:val="28"/>
          <w:szCs w:val="28"/>
        </w:rPr>
        <w:t>. It seems that it is a curse and not a blessing worthy of celebration!</w:t>
      </w:r>
    </w:p>
    <w:p w:rsidR="00F31E34" w:rsidRPr="001216E0" w:rsidRDefault="00F31E34" w:rsidP="001216E0">
      <w:pPr>
        <w:pStyle w:val="ListParagraph"/>
        <w:numPr>
          <w:ilvl w:val="0"/>
          <w:numId w:val="1"/>
        </w:numPr>
        <w:jc w:val="both"/>
        <w:rPr>
          <w:sz w:val="28"/>
          <w:szCs w:val="28"/>
        </w:rPr>
      </w:pPr>
      <w:r w:rsidRPr="001216E0">
        <w:rPr>
          <w:sz w:val="28"/>
          <w:szCs w:val="28"/>
        </w:rPr>
        <w:lastRenderedPageBreak/>
        <w:t xml:space="preserve">Perhaps, the </w:t>
      </w:r>
      <w:proofErr w:type="gramStart"/>
      <w:r w:rsidRPr="001216E0">
        <w:rPr>
          <w:sz w:val="28"/>
          <w:szCs w:val="28"/>
        </w:rPr>
        <w:t xml:space="preserve">link between the </w:t>
      </w:r>
      <w:r w:rsidRPr="001216E0">
        <w:rPr>
          <w:rFonts w:hint="cs"/>
          <w:sz w:val="28"/>
          <w:szCs w:val="28"/>
          <w:rtl/>
        </w:rPr>
        <w:t>מצוות היום</w:t>
      </w:r>
      <w:r w:rsidRPr="001216E0">
        <w:rPr>
          <w:sz w:val="28"/>
          <w:szCs w:val="28"/>
        </w:rPr>
        <w:t xml:space="preserve"> provide</w:t>
      </w:r>
      <w:proofErr w:type="gramEnd"/>
      <w:r w:rsidRPr="001216E0">
        <w:rPr>
          <w:sz w:val="28"/>
          <w:szCs w:val="28"/>
        </w:rPr>
        <w:t xml:space="preserve"> us with a proper approach to material success. We are celebrating a </w:t>
      </w:r>
      <w:r w:rsidRPr="001216E0">
        <w:rPr>
          <w:rFonts w:hint="cs"/>
          <w:sz w:val="28"/>
          <w:szCs w:val="28"/>
          <w:rtl/>
        </w:rPr>
        <w:t>חג האסיף</w:t>
      </w:r>
      <w:r w:rsidRPr="001216E0">
        <w:rPr>
          <w:sz w:val="28"/>
          <w:szCs w:val="28"/>
        </w:rPr>
        <w:t xml:space="preserve">, a celebration of material success. The </w:t>
      </w:r>
      <w:proofErr w:type="spellStart"/>
      <w:r w:rsidRPr="001216E0">
        <w:rPr>
          <w:sz w:val="28"/>
          <w:szCs w:val="28"/>
        </w:rPr>
        <w:t>torah</w:t>
      </w:r>
      <w:proofErr w:type="spellEnd"/>
      <w:r w:rsidRPr="001216E0">
        <w:rPr>
          <w:sz w:val="28"/>
          <w:szCs w:val="28"/>
        </w:rPr>
        <w:t xml:space="preserve">, and </w:t>
      </w:r>
      <w:r w:rsidRPr="001216E0">
        <w:rPr>
          <w:rFonts w:hint="cs"/>
          <w:sz w:val="28"/>
          <w:szCs w:val="28"/>
          <w:rtl/>
        </w:rPr>
        <w:t>חז"ל</w:t>
      </w:r>
      <w:r w:rsidRPr="001216E0">
        <w:rPr>
          <w:sz w:val="28"/>
          <w:szCs w:val="28"/>
        </w:rPr>
        <w:t xml:space="preserve"> channel the celebration in a certain direction through the </w:t>
      </w:r>
      <w:r w:rsidRPr="001216E0">
        <w:rPr>
          <w:rFonts w:hint="cs"/>
          <w:sz w:val="28"/>
          <w:szCs w:val="28"/>
          <w:rtl/>
        </w:rPr>
        <w:t>מצוות ומנהגי היום</w:t>
      </w:r>
      <w:r w:rsidRPr="001216E0">
        <w:rPr>
          <w:sz w:val="28"/>
          <w:szCs w:val="28"/>
        </w:rPr>
        <w:t>:</w:t>
      </w:r>
    </w:p>
    <w:p w:rsidR="001216E0" w:rsidRPr="001216E0" w:rsidRDefault="001216E0" w:rsidP="001216E0">
      <w:pPr>
        <w:pStyle w:val="ListParagraph"/>
        <w:numPr>
          <w:ilvl w:val="0"/>
          <w:numId w:val="4"/>
        </w:numPr>
        <w:jc w:val="both"/>
        <w:rPr>
          <w:sz w:val="28"/>
          <w:szCs w:val="28"/>
        </w:rPr>
      </w:pPr>
      <w:r w:rsidRPr="001216E0">
        <w:rPr>
          <w:sz w:val="28"/>
          <w:szCs w:val="28"/>
        </w:rPr>
        <w:t xml:space="preserve">First, the </w:t>
      </w:r>
      <w:r w:rsidRPr="001216E0">
        <w:rPr>
          <w:rFonts w:hint="cs"/>
          <w:sz w:val="28"/>
          <w:szCs w:val="28"/>
          <w:rtl/>
        </w:rPr>
        <w:t>מנהג</w:t>
      </w:r>
      <w:r w:rsidRPr="001216E0">
        <w:rPr>
          <w:sz w:val="28"/>
          <w:szCs w:val="28"/>
        </w:rPr>
        <w:t xml:space="preserve"> to read </w:t>
      </w:r>
      <w:r w:rsidRPr="001216E0">
        <w:rPr>
          <w:rFonts w:hint="cs"/>
          <w:sz w:val="28"/>
          <w:szCs w:val="28"/>
          <w:rtl/>
        </w:rPr>
        <w:t>קהלת</w:t>
      </w:r>
      <w:r w:rsidRPr="001216E0">
        <w:rPr>
          <w:sz w:val="28"/>
          <w:szCs w:val="28"/>
        </w:rPr>
        <w:t xml:space="preserve"> gears our mind in the right direction. </w:t>
      </w:r>
      <w:r w:rsidRPr="001216E0">
        <w:rPr>
          <w:rFonts w:hint="cs"/>
          <w:sz w:val="28"/>
          <w:szCs w:val="28"/>
          <w:rtl/>
        </w:rPr>
        <w:t>הכל הבל</w:t>
      </w:r>
      <w:r w:rsidRPr="001216E0">
        <w:rPr>
          <w:sz w:val="28"/>
          <w:szCs w:val="28"/>
        </w:rPr>
        <w:t xml:space="preserve"> – all the material success is useless and ultimately unimportant. This was written by the king who presided over the greatest period of prosperity in Jewish history. A sense of what our goals are and what are tools that help us achieve those goals is in order. So the first message is attitudinal.</w:t>
      </w:r>
    </w:p>
    <w:p w:rsidR="00F31E34" w:rsidRPr="001216E0" w:rsidRDefault="001216E0" w:rsidP="001216E0">
      <w:pPr>
        <w:pStyle w:val="ListParagraph"/>
        <w:numPr>
          <w:ilvl w:val="0"/>
          <w:numId w:val="4"/>
        </w:numPr>
        <w:jc w:val="both"/>
        <w:rPr>
          <w:sz w:val="28"/>
          <w:szCs w:val="28"/>
        </w:rPr>
      </w:pPr>
      <w:r w:rsidRPr="001216E0">
        <w:rPr>
          <w:sz w:val="28"/>
          <w:szCs w:val="28"/>
        </w:rPr>
        <w:t xml:space="preserve">Second, </w:t>
      </w:r>
      <w:r w:rsidR="00F31E34" w:rsidRPr="001216E0">
        <w:rPr>
          <w:sz w:val="28"/>
          <w:szCs w:val="28"/>
        </w:rPr>
        <w:t xml:space="preserve">the </w:t>
      </w:r>
      <w:r w:rsidR="00F31E34" w:rsidRPr="001216E0">
        <w:rPr>
          <w:rFonts w:hint="cs"/>
          <w:sz w:val="28"/>
          <w:szCs w:val="28"/>
          <w:rtl/>
        </w:rPr>
        <w:t>מצוה</w:t>
      </w:r>
      <w:r w:rsidR="00F31E34" w:rsidRPr="001216E0">
        <w:rPr>
          <w:sz w:val="28"/>
          <w:szCs w:val="28"/>
        </w:rPr>
        <w:t xml:space="preserve"> of </w:t>
      </w:r>
      <w:r w:rsidR="00F31E34" w:rsidRPr="001216E0">
        <w:rPr>
          <w:rFonts w:hint="cs"/>
          <w:sz w:val="28"/>
          <w:szCs w:val="28"/>
          <w:rtl/>
        </w:rPr>
        <w:t>סוכה</w:t>
      </w:r>
      <w:r w:rsidR="00F31E34" w:rsidRPr="001216E0">
        <w:rPr>
          <w:sz w:val="28"/>
          <w:szCs w:val="28"/>
        </w:rPr>
        <w:t xml:space="preserve"> teaches</w:t>
      </w:r>
      <w:r w:rsidRPr="001216E0">
        <w:rPr>
          <w:sz w:val="28"/>
          <w:szCs w:val="28"/>
        </w:rPr>
        <w:t xml:space="preserve"> what to do in order to maintain this perspective -</w:t>
      </w:r>
      <w:r w:rsidR="00F31E34" w:rsidRPr="001216E0">
        <w:rPr>
          <w:sz w:val="28"/>
          <w:szCs w:val="28"/>
        </w:rPr>
        <w:t xml:space="preserve"> </w:t>
      </w:r>
      <w:r w:rsidR="00F31E34" w:rsidRPr="001216E0">
        <w:rPr>
          <w:rFonts w:hint="cs"/>
          <w:sz w:val="28"/>
          <w:szCs w:val="28"/>
          <w:rtl/>
        </w:rPr>
        <w:t>צא מדירת קבע לדירת עראי</w:t>
      </w:r>
      <w:r w:rsidR="00F31E34" w:rsidRPr="001216E0">
        <w:rPr>
          <w:sz w:val="28"/>
          <w:szCs w:val="28"/>
        </w:rPr>
        <w:t xml:space="preserve"> – no matter how much money we have, don’t live lavishly. </w:t>
      </w:r>
      <w:r w:rsidRPr="001216E0">
        <w:rPr>
          <w:sz w:val="28"/>
          <w:szCs w:val="28"/>
        </w:rPr>
        <w:t xml:space="preserve">In the </w:t>
      </w:r>
      <w:r w:rsidRPr="001216E0">
        <w:rPr>
          <w:rFonts w:hint="cs"/>
          <w:sz w:val="28"/>
          <w:szCs w:val="28"/>
          <w:rtl/>
        </w:rPr>
        <w:t>ספר אוצר הויכוחים</w:t>
      </w:r>
      <w:r w:rsidRPr="001216E0">
        <w:rPr>
          <w:sz w:val="28"/>
          <w:szCs w:val="28"/>
        </w:rPr>
        <w:t xml:space="preserve"> there is a short dialogue between the king of Portugal and the Rabbi. The king tells him: “Before we begin discussing religion I would like to tell you something that you need to hear. Just listen and accept it. The Jews who become wealthy flaunt their prosperity and </w:t>
      </w:r>
      <w:proofErr w:type="gramStart"/>
      <w:r w:rsidRPr="001216E0">
        <w:rPr>
          <w:sz w:val="28"/>
          <w:szCs w:val="28"/>
        </w:rPr>
        <w:t>this offend</w:t>
      </w:r>
      <w:proofErr w:type="gramEnd"/>
      <w:r w:rsidRPr="001216E0">
        <w:rPr>
          <w:sz w:val="28"/>
          <w:szCs w:val="28"/>
        </w:rPr>
        <w:t xml:space="preserve"> my countrymen. They buy fancy coaches and stylish homes, shocking </w:t>
      </w:r>
      <w:proofErr w:type="spellStart"/>
      <w:r w:rsidRPr="001216E0">
        <w:rPr>
          <w:sz w:val="28"/>
          <w:szCs w:val="28"/>
        </w:rPr>
        <w:t>everybone</w:t>
      </w:r>
      <w:proofErr w:type="spellEnd"/>
      <w:r w:rsidRPr="001216E0">
        <w:rPr>
          <w:sz w:val="28"/>
          <w:szCs w:val="28"/>
        </w:rPr>
        <w:t xml:space="preserve"> with their ostentatiousness for they conduct themselves as only royalty do…” </w:t>
      </w:r>
      <w:r w:rsidR="00F31E34" w:rsidRPr="001216E0">
        <w:rPr>
          <w:sz w:val="28"/>
          <w:szCs w:val="28"/>
        </w:rPr>
        <w:t xml:space="preserve">Wealth is addictive and has a way of turning luxuries into necessities. This is best illustrated by the </w:t>
      </w:r>
      <w:r w:rsidR="00F31E34" w:rsidRPr="001216E0">
        <w:rPr>
          <w:rFonts w:hint="cs"/>
          <w:sz w:val="28"/>
          <w:szCs w:val="28"/>
          <w:rtl/>
        </w:rPr>
        <w:t>מצוה</w:t>
      </w:r>
      <w:r w:rsidR="00F31E34" w:rsidRPr="001216E0">
        <w:rPr>
          <w:sz w:val="28"/>
          <w:szCs w:val="28"/>
        </w:rPr>
        <w:t xml:space="preserve"> of </w:t>
      </w:r>
      <w:r w:rsidR="00F31E34" w:rsidRPr="001216E0">
        <w:rPr>
          <w:rFonts w:hint="cs"/>
          <w:sz w:val="28"/>
          <w:szCs w:val="28"/>
          <w:rtl/>
        </w:rPr>
        <w:t>צדקה</w:t>
      </w:r>
      <w:r w:rsidR="00F31E34" w:rsidRPr="001216E0">
        <w:rPr>
          <w:sz w:val="28"/>
          <w:szCs w:val="28"/>
        </w:rPr>
        <w:t xml:space="preserve"> to give </w:t>
      </w:r>
      <w:r w:rsidR="00F31E34" w:rsidRPr="001216E0">
        <w:rPr>
          <w:rFonts w:hint="cs"/>
          <w:sz w:val="28"/>
          <w:szCs w:val="28"/>
          <w:rtl/>
        </w:rPr>
        <w:t>די מחסרו אשר יחסר לו</w:t>
      </w:r>
      <w:r w:rsidR="00F31E34" w:rsidRPr="001216E0">
        <w:rPr>
          <w:sz w:val="28"/>
          <w:szCs w:val="28"/>
        </w:rPr>
        <w:t xml:space="preserve">, which the </w:t>
      </w:r>
      <w:r w:rsidR="00F31E34" w:rsidRPr="001216E0">
        <w:rPr>
          <w:rFonts w:hint="cs"/>
          <w:sz w:val="28"/>
          <w:szCs w:val="28"/>
          <w:rtl/>
        </w:rPr>
        <w:t>גמרא כתובות דף סז</w:t>
      </w:r>
      <w:r w:rsidR="00F31E34" w:rsidRPr="001216E0">
        <w:rPr>
          <w:sz w:val="28"/>
          <w:szCs w:val="28"/>
        </w:rPr>
        <w:t xml:space="preserve"> </w:t>
      </w:r>
      <w:proofErr w:type="gramStart"/>
      <w:r w:rsidR="00F31E34" w:rsidRPr="001216E0">
        <w:rPr>
          <w:sz w:val="28"/>
          <w:szCs w:val="28"/>
        </w:rPr>
        <w:t>understands</w:t>
      </w:r>
      <w:proofErr w:type="gramEnd"/>
      <w:r w:rsidR="00F31E34" w:rsidRPr="001216E0">
        <w:rPr>
          <w:sz w:val="28"/>
          <w:szCs w:val="28"/>
        </w:rPr>
        <w:t xml:space="preserve"> </w:t>
      </w:r>
      <w:r w:rsidR="00F31E34" w:rsidRPr="001216E0">
        <w:rPr>
          <w:rFonts w:hint="cs"/>
          <w:sz w:val="28"/>
          <w:szCs w:val="28"/>
          <w:rtl/>
        </w:rPr>
        <w:t>אפילו סוס לרכוב עליו ועבד לרוץ לפניו</w:t>
      </w:r>
      <w:r w:rsidR="00F31E34" w:rsidRPr="001216E0">
        <w:rPr>
          <w:sz w:val="28"/>
          <w:szCs w:val="28"/>
        </w:rPr>
        <w:t xml:space="preserve">. Prosperity can lead to dependency, and in the final analysis the prosperous person is far poorer than one who has always been accustomed to a simpler life. When we are </w:t>
      </w:r>
      <w:r w:rsidR="00F31E34" w:rsidRPr="001216E0">
        <w:rPr>
          <w:rFonts w:hint="cs"/>
          <w:sz w:val="28"/>
          <w:szCs w:val="28"/>
          <w:rtl/>
        </w:rPr>
        <w:t>מסתפק במועט</w:t>
      </w:r>
      <w:r w:rsidR="00F31E34" w:rsidRPr="001216E0">
        <w:rPr>
          <w:sz w:val="28"/>
          <w:szCs w:val="28"/>
        </w:rPr>
        <w:t xml:space="preserve"> we are more flexible and more capable to adjusting to changing circumstances.</w:t>
      </w:r>
    </w:p>
    <w:p w:rsidR="00F31E34" w:rsidRPr="001216E0" w:rsidRDefault="001216E0" w:rsidP="001216E0">
      <w:pPr>
        <w:pStyle w:val="ListParagraph"/>
        <w:numPr>
          <w:ilvl w:val="0"/>
          <w:numId w:val="4"/>
        </w:numPr>
        <w:jc w:val="both"/>
        <w:rPr>
          <w:sz w:val="28"/>
          <w:szCs w:val="28"/>
        </w:rPr>
      </w:pPr>
      <w:r w:rsidRPr="001216E0">
        <w:rPr>
          <w:sz w:val="28"/>
          <w:szCs w:val="28"/>
        </w:rPr>
        <w:t>Finally</w:t>
      </w:r>
      <w:r w:rsidR="00F31E34" w:rsidRPr="001216E0">
        <w:rPr>
          <w:sz w:val="28"/>
          <w:szCs w:val="28"/>
        </w:rPr>
        <w:t xml:space="preserve">, the </w:t>
      </w:r>
      <w:r w:rsidR="00F31E34" w:rsidRPr="001216E0">
        <w:rPr>
          <w:rFonts w:hint="cs"/>
          <w:sz w:val="28"/>
          <w:szCs w:val="28"/>
          <w:rtl/>
        </w:rPr>
        <w:t>מצוה</w:t>
      </w:r>
      <w:r w:rsidR="00F31E34" w:rsidRPr="001216E0">
        <w:rPr>
          <w:sz w:val="28"/>
          <w:szCs w:val="28"/>
        </w:rPr>
        <w:t xml:space="preserve"> of </w:t>
      </w:r>
      <w:r w:rsidR="00F31E34" w:rsidRPr="001216E0">
        <w:rPr>
          <w:rFonts w:hint="cs"/>
          <w:sz w:val="28"/>
          <w:szCs w:val="28"/>
          <w:rtl/>
        </w:rPr>
        <w:t>ד' מינים</w:t>
      </w:r>
      <w:r w:rsidR="00F31E34" w:rsidRPr="001216E0">
        <w:rPr>
          <w:sz w:val="28"/>
          <w:szCs w:val="28"/>
        </w:rPr>
        <w:t xml:space="preserve"> teaches us</w:t>
      </w:r>
      <w:r w:rsidRPr="001216E0">
        <w:rPr>
          <w:sz w:val="28"/>
          <w:szCs w:val="28"/>
        </w:rPr>
        <w:t xml:space="preserve"> what to do with our wealth -</w:t>
      </w:r>
      <w:r w:rsidR="00F31E34" w:rsidRPr="001216E0">
        <w:rPr>
          <w:sz w:val="28"/>
          <w:szCs w:val="28"/>
        </w:rPr>
        <w:t xml:space="preserve"> all Jews are united </w:t>
      </w:r>
      <w:r w:rsidR="00F31E34" w:rsidRPr="001216E0">
        <w:rPr>
          <w:rFonts w:hint="cs"/>
          <w:sz w:val="28"/>
          <w:szCs w:val="28"/>
          <w:rtl/>
        </w:rPr>
        <w:t>באיגוד אחד</w:t>
      </w:r>
      <w:r w:rsidR="00F31E34" w:rsidRPr="001216E0">
        <w:rPr>
          <w:sz w:val="28"/>
          <w:szCs w:val="28"/>
        </w:rPr>
        <w:t>. When people experience material success it is common to worry about protecting their wealth. In attempts to preserve the wealth, they are willing to step on other people, lie and cheat, in order to stay on top.</w:t>
      </w:r>
      <w:r w:rsidRPr="001216E0">
        <w:rPr>
          <w:sz w:val="28"/>
          <w:szCs w:val="28"/>
        </w:rPr>
        <w:t xml:space="preserve"> Our tradition teaches that the exact opposite approach will help preserve our wealth – </w:t>
      </w:r>
      <w:r w:rsidRPr="001216E0">
        <w:rPr>
          <w:rFonts w:hint="cs"/>
          <w:sz w:val="28"/>
          <w:szCs w:val="28"/>
          <w:rtl/>
        </w:rPr>
        <w:t xml:space="preserve">מלח </w:t>
      </w:r>
      <w:r w:rsidRPr="001216E0">
        <w:rPr>
          <w:rFonts w:hint="cs"/>
          <w:sz w:val="28"/>
          <w:szCs w:val="28"/>
          <w:rtl/>
        </w:rPr>
        <w:lastRenderedPageBreak/>
        <w:t>ממון חסר</w:t>
      </w:r>
      <w:r w:rsidRPr="001216E0">
        <w:rPr>
          <w:sz w:val="28"/>
          <w:szCs w:val="28"/>
        </w:rPr>
        <w:t xml:space="preserve">. As </w:t>
      </w:r>
      <w:proofErr w:type="spellStart"/>
      <w:r w:rsidRPr="001216E0">
        <w:rPr>
          <w:sz w:val="28"/>
          <w:szCs w:val="28"/>
        </w:rPr>
        <w:t>Dovid</w:t>
      </w:r>
      <w:proofErr w:type="spellEnd"/>
      <w:r w:rsidRPr="001216E0">
        <w:rPr>
          <w:sz w:val="28"/>
          <w:szCs w:val="28"/>
        </w:rPr>
        <w:t xml:space="preserve"> </w:t>
      </w:r>
      <w:proofErr w:type="spellStart"/>
      <w:r w:rsidRPr="001216E0">
        <w:rPr>
          <w:sz w:val="28"/>
          <w:szCs w:val="28"/>
        </w:rPr>
        <w:t>Hamelech</w:t>
      </w:r>
      <w:proofErr w:type="spellEnd"/>
      <w:r w:rsidRPr="001216E0">
        <w:rPr>
          <w:sz w:val="28"/>
          <w:szCs w:val="28"/>
        </w:rPr>
        <w:t xml:space="preserve"> counseled when informed of economic difficulties in the country – </w:t>
      </w:r>
      <w:r w:rsidRPr="001216E0">
        <w:rPr>
          <w:rFonts w:hint="cs"/>
          <w:sz w:val="28"/>
          <w:szCs w:val="28"/>
          <w:rtl/>
        </w:rPr>
        <w:t>לכו והתפרנסו זו מזו</w:t>
      </w:r>
      <w:r w:rsidRPr="001216E0">
        <w:rPr>
          <w:sz w:val="28"/>
          <w:szCs w:val="28"/>
        </w:rPr>
        <w:t xml:space="preserve"> – let the Jews support each other. </w:t>
      </w:r>
      <w:r w:rsidRPr="001216E0">
        <w:rPr>
          <w:rFonts w:hint="cs"/>
          <w:sz w:val="28"/>
          <w:szCs w:val="28"/>
          <w:rtl/>
        </w:rPr>
        <w:t>שלי שלך ושלך שלי</w:t>
      </w:r>
      <w:r w:rsidRPr="001216E0">
        <w:rPr>
          <w:sz w:val="28"/>
          <w:szCs w:val="28"/>
        </w:rPr>
        <w:t xml:space="preserve"> – we are all one and my current material success isn’t mine to keep, its mine to share with those who are going through a more challenging time.</w:t>
      </w:r>
    </w:p>
    <w:sectPr w:rsidR="00F31E34" w:rsidRPr="001216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3F" w:rsidRDefault="0095723F" w:rsidP="005960DE">
      <w:pPr>
        <w:spacing w:line="240" w:lineRule="auto"/>
      </w:pPr>
      <w:r>
        <w:separator/>
      </w:r>
    </w:p>
  </w:endnote>
  <w:endnote w:type="continuationSeparator" w:id="0">
    <w:p w:rsidR="0095723F" w:rsidRDefault="0095723F" w:rsidP="00596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3F" w:rsidRDefault="0095723F" w:rsidP="005960DE">
      <w:pPr>
        <w:spacing w:line="240" w:lineRule="auto"/>
      </w:pPr>
      <w:r>
        <w:separator/>
      </w:r>
    </w:p>
  </w:footnote>
  <w:footnote w:type="continuationSeparator" w:id="0">
    <w:p w:rsidR="0095723F" w:rsidRDefault="0095723F" w:rsidP="005960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97730AAFE284F4FBF0AF81E54EE5B48"/>
      </w:placeholder>
      <w:dataBinding w:prefixMappings="xmlns:ns0='http://schemas.openxmlformats.org/package/2006/metadata/core-properties' xmlns:ns1='http://purl.org/dc/elements/1.1/'" w:xpath="/ns0:coreProperties[1]/ns1:title[1]" w:storeItemID="{6C3C8BC8-F283-45AE-878A-BAB7291924A1}"/>
      <w:text/>
    </w:sdtPr>
    <w:sdtContent>
      <w:p w:rsidR="005960DE" w:rsidRDefault="005960DE" w:rsidP="005960D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 xml:space="preserve">דרשה לסוכות תשע"ג – קשר </w:t>
        </w:r>
        <w:r>
          <w:rPr>
            <w:rFonts w:asciiTheme="majorHAnsi" w:eastAsiaTheme="majorEastAsia" w:hAnsiTheme="majorHAnsi" w:cstheme="majorBidi" w:hint="cs"/>
            <w:sz w:val="32"/>
            <w:szCs w:val="32"/>
            <w:rtl/>
          </w:rPr>
          <w:t>בין סוכה, ד' מינים וקהלת</w:t>
        </w:r>
      </w:p>
    </w:sdtContent>
  </w:sdt>
  <w:p w:rsidR="005960DE" w:rsidRDefault="00596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E04"/>
    <w:multiLevelType w:val="hybridMultilevel"/>
    <w:tmpl w:val="F3186C8E"/>
    <w:lvl w:ilvl="0" w:tplc="7A4403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49345E"/>
    <w:multiLevelType w:val="hybridMultilevel"/>
    <w:tmpl w:val="09B0EE98"/>
    <w:lvl w:ilvl="0" w:tplc="FD9A8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0B7C77"/>
    <w:multiLevelType w:val="hybridMultilevel"/>
    <w:tmpl w:val="E28496EC"/>
    <w:lvl w:ilvl="0" w:tplc="AAFE3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91954"/>
    <w:multiLevelType w:val="hybridMultilevel"/>
    <w:tmpl w:val="0D303B6A"/>
    <w:lvl w:ilvl="0" w:tplc="43F2FF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DE"/>
    <w:rsid w:val="001216E0"/>
    <w:rsid w:val="005369B7"/>
    <w:rsid w:val="005960DE"/>
    <w:rsid w:val="0095723F"/>
    <w:rsid w:val="00CA1CEA"/>
    <w:rsid w:val="00E225E2"/>
    <w:rsid w:val="00F31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0DE"/>
    <w:pPr>
      <w:tabs>
        <w:tab w:val="center" w:pos="4680"/>
        <w:tab w:val="right" w:pos="9360"/>
      </w:tabs>
      <w:spacing w:line="240" w:lineRule="auto"/>
    </w:pPr>
  </w:style>
  <w:style w:type="character" w:customStyle="1" w:styleId="HeaderChar">
    <w:name w:val="Header Char"/>
    <w:basedOn w:val="DefaultParagraphFont"/>
    <w:link w:val="Header"/>
    <w:uiPriority w:val="99"/>
    <w:rsid w:val="005960DE"/>
  </w:style>
  <w:style w:type="paragraph" w:styleId="Footer">
    <w:name w:val="footer"/>
    <w:basedOn w:val="Normal"/>
    <w:link w:val="FooterChar"/>
    <w:uiPriority w:val="99"/>
    <w:unhideWhenUsed/>
    <w:rsid w:val="005960DE"/>
    <w:pPr>
      <w:tabs>
        <w:tab w:val="center" w:pos="4680"/>
        <w:tab w:val="right" w:pos="9360"/>
      </w:tabs>
      <w:spacing w:line="240" w:lineRule="auto"/>
    </w:pPr>
  </w:style>
  <w:style w:type="character" w:customStyle="1" w:styleId="FooterChar">
    <w:name w:val="Footer Char"/>
    <w:basedOn w:val="DefaultParagraphFont"/>
    <w:link w:val="Footer"/>
    <w:uiPriority w:val="99"/>
    <w:rsid w:val="005960DE"/>
  </w:style>
  <w:style w:type="paragraph" w:styleId="BalloonText">
    <w:name w:val="Balloon Text"/>
    <w:basedOn w:val="Normal"/>
    <w:link w:val="BalloonTextChar"/>
    <w:uiPriority w:val="99"/>
    <w:semiHidden/>
    <w:unhideWhenUsed/>
    <w:rsid w:val="005960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DE"/>
    <w:rPr>
      <w:rFonts w:ascii="Tahoma" w:hAnsi="Tahoma" w:cs="Tahoma"/>
      <w:sz w:val="16"/>
      <w:szCs w:val="16"/>
    </w:rPr>
  </w:style>
  <w:style w:type="paragraph" w:styleId="ListParagraph">
    <w:name w:val="List Paragraph"/>
    <w:basedOn w:val="Normal"/>
    <w:uiPriority w:val="34"/>
    <w:qFormat/>
    <w:rsid w:val="00596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0DE"/>
    <w:pPr>
      <w:tabs>
        <w:tab w:val="center" w:pos="4680"/>
        <w:tab w:val="right" w:pos="9360"/>
      </w:tabs>
      <w:spacing w:line="240" w:lineRule="auto"/>
    </w:pPr>
  </w:style>
  <w:style w:type="character" w:customStyle="1" w:styleId="HeaderChar">
    <w:name w:val="Header Char"/>
    <w:basedOn w:val="DefaultParagraphFont"/>
    <w:link w:val="Header"/>
    <w:uiPriority w:val="99"/>
    <w:rsid w:val="005960DE"/>
  </w:style>
  <w:style w:type="paragraph" w:styleId="Footer">
    <w:name w:val="footer"/>
    <w:basedOn w:val="Normal"/>
    <w:link w:val="FooterChar"/>
    <w:uiPriority w:val="99"/>
    <w:unhideWhenUsed/>
    <w:rsid w:val="005960DE"/>
    <w:pPr>
      <w:tabs>
        <w:tab w:val="center" w:pos="4680"/>
        <w:tab w:val="right" w:pos="9360"/>
      </w:tabs>
      <w:spacing w:line="240" w:lineRule="auto"/>
    </w:pPr>
  </w:style>
  <w:style w:type="character" w:customStyle="1" w:styleId="FooterChar">
    <w:name w:val="Footer Char"/>
    <w:basedOn w:val="DefaultParagraphFont"/>
    <w:link w:val="Footer"/>
    <w:uiPriority w:val="99"/>
    <w:rsid w:val="005960DE"/>
  </w:style>
  <w:style w:type="paragraph" w:styleId="BalloonText">
    <w:name w:val="Balloon Text"/>
    <w:basedOn w:val="Normal"/>
    <w:link w:val="BalloonTextChar"/>
    <w:uiPriority w:val="99"/>
    <w:semiHidden/>
    <w:unhideWhenUsed/>
    <w:rsid w:val="005960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DE"/>
    <w:rPr>
      <w:rFonts w:ascii="Tahoma" w:hAnsi="Tahoma" w:cs="Tahoma"/>
      <w:sz w:val="16"/>
      <w:szCs w:val="16"/>
    </w:rPr>
  </w:style>
  <w:style w:type="paragraph" w:styleId="ListParagraph">
    <w:name w:val="List Paragraph"/>
    <w:basedOn w:val="Normal"/>
    <w:uiPriority w:val="34"/>
    <w:qFormat/>
    <w:rsid w:val="00596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7730AAFE284F4FBF0AF81E54EE5B48"/>
        <w:category>
          <w:name w:val="General"/>
          <w:gallery w:val="placeholder"/>
        </w:category>
        <w:types>
          <w:type w:val="bbPlcHdr"/>
        </w:types>
        <w:behaviors>
          <w:behavior w:val="content"/>
        </w:behaviors>
        <w:guid w:val="{947CAE11-4FF9-4A74-B04D-AD7C9FEBEE68}"/>
      </w:docPartPr>
      <w:docPartBody>
        <w:p w:rsidR="00000000" w:rsidRDefault="00792191" w:rsidP="00792191">
          <w:pPr>
            <w:pStyle w:val="497730AAFE284F4FBF0AF81E54EE5B4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91"/>
    <w:rsid w:val="00792191"/>
    <w:rsid w:val="009D3E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7730AAFE284F4FBF0AF81E54EE5B48">
    <w:name w:val="497730AAFE284F4FBF0AF81E54EE5B48"/>
    <w:rsid w:val="007921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7730AAFE284F4FBF0AF81E54EE5B48">
    <w:name w:val="497730AAFE284F4FBF0AF81E54EE5B48"/>
    <w:rsid w:val="00792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דרשה לסוכות תשע"ג – קשר בין סוכה, ד' מינים וקהלת</dc:title>
  <dc:creator>aryeh</dc:creator>
  <cp:lastModifiedBy>aryeh</cp:lastModifiedBy>
  <cp:revision>1</cp:revision>
  <dcterms:created xsi:type="dcterms:W3CDTF">2012-09-30T16:25:00Z</dcterms:created>
  <dcterms:modified xsi:type="dcterms:W3CDTF">2012-09-30T17:01:00Z</dcterms:modified>
</cp:coreProperties>
</file>