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7495" w14:textId="17B0C6B0" w:rsidR="009D7591" w:rsidRPr="009D7591" w:rsidRDefault="009D7591" w:rsidP="009D759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</w:pPr>
      <w:r w:rsidRPr="009D7591">
        <w:rPr>
          <w:rFonts w:ascii="Arial" w:hAnsi="Arial" w:cs="Arial"/>
          <w:b/>
          <w:bCs/>
          <w:color w:val="000000"/>
          <w:sz w:val="28"/>
          <w:szCs w:val="28"/>
          <w:u w:val="single"/>
          <w:rtl/>
          <w:lang w:bidi="he-IL"/>
        </w:rPr>
        <w:t>מעמד שלשתן</w:t>
      </w:r>
      <w:r w:rsidRPr="009D7591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</w:t>
      </w:r>
      <w:proofErr w:type="spellStart"/>
      <w:r w:rsidRPr="009D7591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  <w:lang w:bidi="he-IL"/>
        </w:rPr>
        <w:t>ו</w:t>
      </w:r>
      <w:r w:rsidRPr="009D7591">
        <w:rPr>
          <w:rFonts w:ascii="Arial" w:hAnsi="Arial" w:cs="Arial"/>
          <w:b/>
          <w:bCs/>
          <w:color w:val="000000"/>
          <w:sz w:val="28"/>
          <w:szCs w:val="28"/>
          <w:u w:val="single"/>
          <w:rtl/>
          <w:lang w:bidi="he-IL"/>
        </w:rPr>
        <w:t>אומדנא</w:t>
      </w:r>
      <w:proofErr w:type="spellEnd"/>
      <w:r w:rsidRPr="009D7591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  <w:lang w:bidi="he-IL"/>
        </w:rPr>
        <w:t xml:space="preserve"> </w:t>
      </w:r>
      <w:proofErr w:type="spellStart"/>
      <w:r w:rsidRPr="009D7591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  <w:lang w:bidi="he-IL"/>
        </w:rPr>
        <w:t>בגיטין</w:t>
      </w:r>
      <w:proofErr w:type="spellEnd"/>
    </w:p>
    <w:p w14:paraId="1E83E9DE" w14:textId="77777777" w:rsidR="009D7591" w:rsidRDefault="009D7591" w:rsidP="009D759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</w:pPr>
    </w:p>
    <w:p w14:paraId="1E225FE5" w14:textId="73C31830" w:rsidR="00565E01" w:rsidRDefault="00565E01" w:rsidP="009D759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תלמוד בבלי מסכת גיטין דף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יג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עמוד א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27C58964" w14:textId="77777777" w:rsidR="00565E01" w:rsidRDefault="00565E01" w:rsidP="00565E0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מתני'. האומר תנו גט זה לאשתי, שטר שחרור זה לעבדי, ומת - לא יתנו לאחר מיתה; תנו מנה לאיש פלוני, ומת - יתנו לאחר מיתה. </w:t>
      </w:r>
    </w:p>
    <w:p w14:paraId="603499D1" w14:textId="77777777" w:rsidR="00565E01" w:rsidRDefault="00565E01" w:rsidP="00565E0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he-IL"/>
        </w:rPr>
      </w:pPr>
    </w:p>
    <w:p w14:paraId="5CFDD49F" w14:textId="10D2AE9B" w:rsidR="00565E01" w:rsidRDefault="00565E01" w:rsidP="00565E0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he-IL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גמ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'. אמר רב יצחק בר שמואל בר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מרתא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משמיה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דרב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: והוא,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שצבורין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ומונחין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בקרן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זוית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. במאי עסקינן?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אילימא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בבריא, כי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צבורין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מאי הוי? הא לא משך! ואלא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בשכיב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מרע, מאי איריא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צבורין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? כי אין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צבורין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נמי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דהא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קיי"ל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דדברי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שכיב מרע ככתובים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וכמסורין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דמו!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א"ר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זביד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: לעולם בבריא,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וכדרב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הונא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אמר רב,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דאמר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רב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הונא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אמר רב: מנה לי בידך תנהו לו לפלוני, במעמד שלשתן - קנה. </w:t>
      </w:r>
    </w:p>
    <w:p w14:paraId="5B0C7B92" w14:textId="39A00A3A" w:rsidR="00565E01" w:rsidRDefault="00565E01" w:rsidP="00565E0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he-IL"/>
        </w:rPr>
      </w:pPr>
    </w:p>
    <w:p w14:paraId="0B78C151" w14:textId="77777777" w:rsidR="00565E01" w:rsidRDefault="00565E01" w:rsidP="00565E0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תלמוד בבלי מסכת גיטין דף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יג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עמוד ב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329CF819" w14:textId="77777777" w:rsidR="00565E01" w:rsidRDefault="00565E01" w:rsidP="00565E0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אמר רבא: מסתברא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מילתיה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דרב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בפקדון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, אבל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במלוה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לא,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והאלקים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! אמר רב אפילו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במלוה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. </w:t>
      </w:r>
    </w:p>
    <w:p w14:paraId="69CFDB44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color w:val="000000"/>
          <w:sz w:val="28"/>
          <w:szCs w:val="28"/>
          <w:rtl/>
          <w:lang w:bidi="he-IL"/>
        </w:rPr>
      </w:pPr>
    </w:p>
    <w:p w14:paraId="55718EDE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תוספות מסכת גיטין דף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יג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עמוד א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0082C367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32"/>
          <w:szCs w:val="32"/>
          <w:rtl/>
          <w:lang w:bidi="he-IL"/>
        </w:rPr>
        <w:t>תנו מנה לפלוני ומת יתנו לאחר מיתה</w:t>
      </w: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- למאן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דמוקי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לה בבריא ובמעמד שלשתן א"צ לומר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דלדידיה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רישא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נמי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איירי במעמד שלשתן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ומיירי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שהגט כבר בעין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דאם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אינו בעין אפי' בממון לא שייך מעמד ג' ואיירי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שהאשה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רוצה בכך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ואשמעי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' דלא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תקון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מעמד ג' בשטר אלא בממון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דאין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נראה שיחלקו האמוראים ברישא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דמתני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'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דמר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מוקי לה במעמד שלשתן ומר בכתבו ותנו אלא בסיפא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דוקא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פליגי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ומיירי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רישא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לכולהו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בכתבו ותנו אפי' למאן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דמוקי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לה בבריא דלא שייך מעמד שלשתן ואף על גב דלא הוי רישא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דומיא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דסיפא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אין לחוש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דה"נ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למאן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דמוקי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לה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בשכיב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מרע לא הוי רישא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דומיא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דסיפא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מכל וכל שהשטר אינו בעולם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כשמצוה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ליתן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והמנה הוא כבר בעולם אף על גב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דבגמ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' מוכח מרישא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דסיפא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איירי בבריא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אלמא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בעי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דלהוי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סיפא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דומיא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דרישא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היינו משום דאית לן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לאוקמי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כולהו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בחד גברא אבל מ"מ לא בעי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לאשוינהו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לגמרי.</w:t>
      </w:r>
    </w:p>
    <w:p w14:paraId="75006F30" w14:textId="106BA87A" w:rsidR="003134EB" w:rsidRP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rtl/>
          <w:lang w:bidi="he-IL"/>
        </w:rPr>
      </w:pPr>
      <w:r>
        <w:rPr>
          <w:rFonts w:ascii="Arial" w:hAnsi="Arial" w:cs="Arial"/>
          <w:color w:val="000000"/>
          <w:sz w:val="32"/>
          <w:szCs w:val="32"/>
          <w:rtl/>
          <w:lang w:bidi="he-IL"/>
        </w:rPr>
        <w:t xml:space="preserve"> </w:t>
      </w:r>
    </w:p>
    <w:p w14:paraId="1FEB11EE" w14:textId="3DFB83EA" w:rsidR="00E02428" w:rsidRDefault="00E02428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הר"ן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על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הרי"ף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מסכת גיטין דף ה עמוד א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181B9282" w14:textId="77777777" w:rsidR="00E02428" w:rsidRDefault="00E02428" w:rsidP="00E0242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rtl/>
          <w:lang w:bidi="he-IL"/>
        </w:rPr>
        <w:t>תנו מנה לפלוני ומת יתנו לאחר מיתה.</w:t>
      </w: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איכא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דמוקי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לה בגמרא במעמד שלשתן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דמש"ה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זכה פלוני באותו מנה ומשמע מינה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דדוקא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במנה הא בגט ושחרור אפילו במעמד שלשתן לא יתנו לאחר מיתה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דבכגון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האי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דתני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במנה יתנו אמר בגט ושטר שחרור לא יתנו ובגט פשיטא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דמעמד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שלשתן לא מהני דלא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תקינו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רבנן מעמד שלשתן אלא במידי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דזכות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אבל במידי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דחובה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לא אבל בשטר שחרור צריך תלמוד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אמאי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לא מהני מדין מעמד שלשתן שעשו בו חכמים שאינו זוכה כזוכה אלא מכאן יש ללמוד שלא תקנו חכמים בשטר מעמד שלשתן וטעמא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דמילתא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משום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דבשלמא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בדבר שגופו ממון איכא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למימר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דמגו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דמצי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זכי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לנפשיה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תקינו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רבנן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דליזכי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לחבריה אבל דבר שאין גופו ממון כשטר דלא מצי זכי ביה לא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תקינו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רבנן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דליזכי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לחבריה. זה נ"ל:</w:t>
      </w:r>
    </w:p>
    <w:p w14:paraId="74D03DCB" w14:textId="77777777" w:rsidR="00E02428" w:rsidRDefault="00E02428" w:rsidP="00E0242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</w:p>
    <w:p w14:paraId="12DCBC13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חידושי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הרשב"א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מסכת גיטין דף עז עמוד ב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3927E7AA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rtl/>
          <w:lang w:bidi="he-IL"/>
        </w:rPr>
        <w:lastRenderedPageBreak/>
        <w:t>דתנן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נעל וגדר ופרץ כל שהוא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ה"ז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חזקה.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פרש"י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ז"ל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דקניא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ליה אגב אותו קרקע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כדתנן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נכסים שאין להם אחריות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נקנין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עם נכסים שיש להן אחריות בכסף בשטר ובחזקה, ואינו מחוור דאי משום אגב למה לי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לאקנויי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אותו מקום שהוא מונח בו והא לא בעינן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צבורין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, אלא משמע שאין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האשה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מתגרשת מדין אגב אלא משום חצרה נגעו בה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דחצרה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וגיטה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באין כאחד.</w:t>
      </w:r>
    </w:p>
    <w:p w14:paraId="19C326DD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rtl/>
          <w:lang w:bidi="he-IL"/>
        </w:rPr>
      </w:pPr>
    </w:p>
    <w:p w14:paraId="6B741960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תוספות מסכת בבא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בתרא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דף עז עמוד א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5FFE687E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32"/>
          <w:szCs w:val="32"/>
          <w:rtl/>
          <w:lang w:bidi="he-IL"/>
        </w:rPr>
        <w:t xml:space="preserve">אמר </w:t>
      </w:r>
      <w:proofErr w:type="spellStart"/>
      <w:r>
        <w:rPr>
          <w:rFonts w:ascii="Arial" w:hAnsi="Arial" w:cs="Arial"/>
          <w:color w:val="000000"/>
          <w:sz w:val="32"/>
          <w:szCs w:val="32"/>
          <w:rtl/>
          <w:lang w:bidi="he-IL"/>
        </w:rPr>
        <w:t>אמימר</w:t>
      </w:r>
      <w:proofErr w:type="spellEnd"/>
      <w:r>
        <w:rPr>
          <w:rFonts w:ascii="Arial" w:hAnsi="Arial" w:cs="Arial"/>
          <w:color w:val="000000"/>
          <w:sz w:val="32"/>
          <w:szCs w:val="32"/>
          <w:rtl/>
          <w:lang w:bidi="he-IL"/>
        </w:rPr>
        <w:t xml:space="preserve"> הלכתא אותיות נקנות במסירה</w:t>
      </w: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- כתב רב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יהודאי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גאון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דאין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אותיות נקנות בחליפין </w:t>
      </w:r>
    </w:p>
    <w:p w14:paraId="4AEF3887" w14:textId="56586FBA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rtl/>
          <w:lang w:bidi="he-IL"/>
        </w:rPr>
      </w:pPr>
      <w:r>
        <w:rPr>
          <w:rFonts w:ascii="Arial" w:hAnsi="Arial" w:cs="Arial"/>
          <w:color w:val="000000"/>
          <w:sz w:val="32"/>
          <w:szCs w:val="32"/>
          <w:rtl/>
          <w:lang w:bidi="he-IL"/>
        </w:rPr>
        <w:t xml:space="preserve"> </w:t>
      </w:r>
    </w:p>
    <w:p w14:paraId="78AEAAF6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שולחן ערוך חושן משפט הלכות הרשאה סימן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קכו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5FE18531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סעיף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כב</w:t>
      </w:r>
      <w:proofErr w:type="spellEnd"/>
    </w:p>
    <w:p w14:paraId="69BFA34E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נז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] יש מי שאומר שאין חילוק בין ישראל נד'] לעובד כוכבים במעמד שלשתן. לפיכך ישראל שאמר לעובד כוכבים: מנה שיש לי בידך תנהו לישראל פלוני במעמד שלשתן, פט {נח} הואיל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נה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'] ונתרצה המקבל, קנה. וכן עובד כוכבים שאמר לישראל: מנה לי בידך תנהו לישראל פלוני, במעמד שלשתן, ואמר הנפקד או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הלוה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: צ נח] כן נו'] אעשה, קנה, וצריך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ליתנו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לו, צא {נט} ואינו יכול לומר: נז'] אנוס הייתי. נט] ויש מי שחולק ואומר טו} שאם הנפקד או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הלוה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עובד כוכבים, וא"ל ישראל המפקיד או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המלוה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: תנהו לישראל פלוני במעמד שלשתן, צב {ס} לא קנה </w:t>
      </w:r>
    </w:p>
    <w:p w14:paraId="5ADF9274" w14:textId="77E8E6DC" w:rsidR="00E02428" w:rsidRDefault="00E02428" w:rsidP="00E0242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</w:p>
    <w:p w14:paraId="4B83AC31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ביאור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הגר"א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חושן משפט סימן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קכו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ס"ק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נז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1571C1E0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28"/>
          <w:szCs w:val="28"/>
          <w:rtl/>
          <w:lang w:bidi="he-IL"/>
        </w:rPr>
        <w:t>[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נז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>]</w:t>
      </w:r>
      <w:r>
        <w:rPr>
          <w:rFonts w:ascii="Arial" w:hAnsi="Arial" w:cs="Arial"/>
          <w:color w:val="000000"/>
          <w:sz w:val="32"/>
          <w:szCs w:val="32"/>
          <w:rtl/>
          <w:lang w:bidi="he-IL"/>
        </w:rPr>
        <w:t xml:space="preserve"> יש מי </w:t>
      </w:r>
      <w:proofErr w:type="spellStart"/>
      <w:r>
        <w:rPr>
          <w:rFonts w:ascii="Arial" w:hAnsi="Arial" w:cs="Arial"/>
          <w:color w:val="000000"/>
          <w:sz w:val="32"/>
          <w:szCs w:val="32"/>
          <w:rtl/>
          <w:lang w:bidi="he-IL"/>
        </w:rPr>
        <w:t>כו</w:t>
      </w:r>
      <w:proofErr w:type="spellEnd"/>
      <w:r>
        <w:rPr>
          <w:rFonts w:ascii="Arial" w:hAnsi="Arial" w:cs="Arial"/>
          <w:color w:val="000000"/>
          <w:sz w:val="32"/>
          <w:szCs w:val="32"/>
          <w:rtl/>
          <w:lang w:bidi="he-IL"/>
        </w:rPr>
        <w:t>'.</w:t>
      </w: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דמעמד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שלשתן הוא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כקנין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כנ"ל וקנין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איתיה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נמי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בעכו"ם כמ"ש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תוס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' בריש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קדושין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ג' א' ע"ש:</w:t>
      </w:r>
    </w:p>
    <w:p w14:paraId="48275B55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</w:p>
    <w:p w14:paraId="3870B693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ביאור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הגר"א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חושן משפט סימן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קכו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ס"ק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נט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5718E6F7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28"/>
          <w:szCs w:val="28"/>
          <w:rtl/>
          <w:lang w:bidi="he-IL"/>
        </w:rPr>
        <w:t>[נט]</w:t>
      </w:r>
      <w:r>
        <w:rPr>
          <w:rFonts w:ascii="Arial" w:hAnsi="Arial" w:cs="Arial"/>
          <w:color w:val="000000"/>
          <w:sz w:val="32"/>
          <w:szCs w:val="32"/>
          <w:rtl/>
          <w:lang w:bidi="he-IL"/>
        </w:rPr>
        <w:t xml:space="preserve"> ויש מי </w:t>
      </w:r>
      <w:proofErr w:type="spellStart"/>
      <w:r>
        <w:rPr>
          <w:rFonts w:ascii="Arial" w:hAnsi="Arial" w:cs="Arial"/>
          <w:color w:val="000000"/>
          <w:sz w:val="32"/>
          <w:szCs w:val="32"/>
          <w:rtl/>
          <w:lang w:bidi="he-IL"/>
        </w:rPr>
        <w:t>כו</w:t>
      </w:r>
      <w:proofErr w:type="spellEnd"/>
      <w:r>
        <w:rPr>
          <w:rFonts w:ascii="Arial" w:hAnsi="Arial" w:cs="Arial"/>
          <w:color w:val="000000"/>
          <w:sz w:val="32"/>
          <w:szCs w:val="32"/>
          <w:rtl/>
          <w:lang w:bidi="he-IL"/>
        </w:rPr>
        <w:t>'.</w:t>
      </w: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כשיטתם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דמעמד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שלשתן הוא מטעם זכייה אלא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דמהני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אפי'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בע"כ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או שאינו ברשותו ועכו"ם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ל"ל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זכייה כמ"ש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בפ"ה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דב"מ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>:</w:t>
      </w:r>
    </w:p>
    <w:p w14:paraId="71616918" w14:textId="77777777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</w:p>
    <w:p w14:paraId="59EFBC12" w14:textId="77777777" w:rsidR="008A7D80" w:rsidRDefault="008A7D80" w:rsidP="008A7D8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תוספות מסכת גיטין דף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יג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עמוד ב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5D0EDC46" w14:textId="77777777" w:rsidR="008A7D80" w:rsidRDefault="008A7D80" w:rsidP="008A7D8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32"/>
          <w:szCs w:val="32"/>
          <w:rtl/>
          <w:lang w:bidi="he-IL"/>
        </w:rPr>
        <w:t>במעמד שלשתן קנה</w:t>
      </w: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- אומר ר"ת דלא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תקינו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מעמד שלשתן בעובד כוכבים אם הנפקד או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הלוה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עובד כוכבים ואמר ליה ישראל תנהו לישראל אחר לא קנה כיון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דאפילו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אמר לו זכי לא קנה כיון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דאין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זכיה לעובד כוכבים ה"ה במעמד ג' לא קנה ואם המקבל עובד כוכבים ואמר ישראל לישראל תנהו לפלוני עובד כוכבים כל זמן שאינו חוזר בו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יתן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אפי' אמר ליה בלא מעמד ג' אבל אם חוזר בו לא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יתן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לעובד כוכבים אפי' אם אמר לו במעמד ג' אם לא שאינו יכול להשמט מן העובד כוכבים ואם הנותן עובד כוכבים נראה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דקנה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דאם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ממונו של ישראל הפקיעו על ידי מעמד ג' דהוי הלכתא בלא טעמא כל שכן ממון העובד כוכבים ועוד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דבדיניהם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דיינינן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ליה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שאמרינן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לו לעובד כוכבים כך דינכם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כדאמרי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'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בהגוזל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בתרא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ב"ק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קיג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>.).</w:t>
      </w:r>
    </w:p>
    <w:p w14:paraId="1E254C30" w14:textId="77777777" w:rsidR="008A7D80" w:rsidRDefault="008A7D80" w:rsidP="008A7D8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rtl/>
          <w:lang w:bidi="he-IL"/>
        </w:rPr>
      </w:pPr>
      <w:r>
        <w:rPr>
          <w:rFonts w:ascii="Arial" w:hAnsi="Arial" w:cs="Arial"/>
          <w:color w:val="000000"/>
          <w:sz w:val="32"/>
          <w:szCs w:val="32"/>
          <w:rtl/>
          <w:lang w:bidi="he-IL"/>
        </w:rPr>
        <w:t xml:space="preserve"> </w:t>
      </w:r>
    </w:p>
    <w:p w14:paraId="662431F0" w14:textId="77777777" w:rsidR="00CD52B4" w:rsidRDefault="00CD52B4" w:rsidP="00CD52B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lastRenderedPageBreak/>
        <w:t xml:space="preserve">תלמוד בבלי מסכת בבא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בתרא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דף קמו עמוד ב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159CC0DF" w14:textId="77777777" w:rsidR="00CD52B4" w:rsidRDefault="00CD52B4" w:rsidP="00CD52B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מתני'. שכיב מרע שכתב כל נכסיו לאחרים ושייר קרקע כל שהוא - מתנתו קיימת, לא שייר קרקע כל שהוא - אין מתנתו קיימת. </w:t>
      </w:r>
    </w:p>
    <w:p w14:paraId="399FE814" w14:textId="77777777" w:rsidR="00CD52B4" w:rsidRDefault="00CD52B4" w:rsidP="00CD52B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</w:p>
    <w:p w14:paraId="46972287" w14:textId="77777777" w:rsidR="00CD52B4" w:rsidRDefault="00CD52B4" w:rsidP="00CD52B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גמ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'. מאן תנא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דאזלינן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בתר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אומדנא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? אמר רב נחמן: רבי שמעון בן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מנסיא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היא;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דתניא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: הרי שהלך בנו למדינת הים, ושמע שמת בנו ועמד וכתב כל נכסיו לאחר, ואחר כך בא בנו - מתנתו מתנה; רבי שמעון בן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מנסיא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אומר: אין מתנתו מתנה, (שאלמלא) +מסורת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הש"ס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: [שאלמלי]+ היה יודע שבנו קיים - לא היה כותבן. רב ששת אמר: ר' שמעון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שזורי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היא;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דתניא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, בראשונה היו אומרים: היוצא בקולר ואמר כתבו גט לאשתי - הרי אלו יכתבו ויתנו, חזרו לומר: אף המפרש והיוצא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בשיירא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; רבי שמעון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שזורי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אומר: אף המסוכן </w:t>
      </w:r>
    </w:p>
    <w:p w14:paraId="3CED8BF8" w14:textId="6E866638" w:rsidR="003134EB" w:rsidRDefault="003134EB" w:rsidP="003134E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</w:p>
    <w:p w14:paraId="22E41B1B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שולחן ערוך אבן העזר הלכות קידושין סימן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מב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23F09627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סעיף א</w:t>
      </w:r>
    </w:p>
    <w:p w14:paraId="5FBD2A9C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rtl/>
          <w:lang w:bidi="he-IL"/>
        </w:rPr>
      </w:pP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א] אין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האשה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מקודשת אלא לרצונה. והמקדש א &lt;א&gt;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אשה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{א} בעל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כרחה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, אינה מקודשת. (א) ב] [א] &lt;ב&gt; אבל האיש שאנסוהו עד שקידש בעל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כרחו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, הרי זו מקודשת, {ב} וי"א שאינה מקודשת,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הילכך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הוה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ליה ספק.</w:t>
      </w:r>
      <w:r>
        <w:rPr>
          <w:rFonts w:ascii="Arial" w:hAnsi="Arial" w:cs="Arial"/>
          <w:color w:val="000000"/>
          <w:rtl/>
          <w:lang w:bidi="he-IL"/>
        </w:rPr>
        <w:t xml:space="preserve"> הגה: ג] &lt;ג&gt; אמרה תחלה: ב קדשיני, וזרק </w:t>
      </w:r>
      <w:proofErr w:type="spellStart"/>
      <w:r>
        <w:rPr>
          <w:rFonts w:ascii="Arial" w:hAnsi="Arial" w:cs="Arial"/>
          <w:color w:val="000000"/>
          <w:rtl/>
          <w:lang w:bidi="he-IL"/>
        </w:rPr>
        <w:t>קדושין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 לתוך חיקה ואמר לה: הרי את מקודשת לי, וניערה בגדיה תוך כדי דיבור להשליך ממנה </w:t>
      </w:r>
      <w:proofErr w:type="spellStart"/>
      <w:r>
        <w:rPr>
          <w:rFonts w:ascii="Arial" w:hAnsi="Arial" w:cs="Arial"/>
          <w:color w:val="000000"/>
          <w:rtl/>
          <w:lang w:bidi="he-IL"/>
        </w:rPr>
        <w:t>הקדושין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, ואומרת שלא כיוונה מתחלה רק לשחוק בעלמא, אפילו הכי הוי מקודשת (תשובת </w:t>
      </w:r>
      <w:proofErr w:type="spellStart"/>
      <w:r>
        <w:rPr>
          <w:rFonts w:ascii="Arial" w:hAnsi="Arial" w:cs="Arial"/>
          <w:color w:val="000000"/>
          <w:rtl/>
          <w:lang w:bidi="he-IL"/>
        </w:rPr>
        <w:t>מוהר"ם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 סוף ספר נשים). ד] ואין הולכים </w:t>
      </w:r>
      <w:proofErr w:type="spellStart"/>
      <w:r>
        <w:rPr>
          <w:rFonts w:ascii="Arial" w:hAnsi="Arial" w:cs="Arial"/>
          <w:color w:val="000000"/>
          <w:rtl/>
          <w:lang w:bidi="he-IL"/>
        </w:rPr>
        <w:t>בענין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 קידושין אחר אומדנות והוכחות {ג} המוכיחות שלא כיוונה לשם </w:t>
      </w:r>
      <w:proofErr w:type="spellStart"/>
      <w:r>
        <w:rPr>
          <w:rFonts w:ascii="Arial" w:hAnsi="Arial" w:cs="Arial"/>
          <w:color w:val="000000"/>
          <w:rtl/>
          <w:lang w:bidi="he-IL"/>
        </w:rPr>
        <w:t>קדושין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 (שם). ה] {ד} לקח יד </w:t>
      </w:r>
      <w:proofErr w:type="spellStart"/>
      <w:r>
        <w:rPr>
          <w:rFonts w:ascii="Arial" w:hAnsi="Arial" w:cs="Arial"/>
          <w:color w:val="000000"/>
          <w:rtl/>
          <w:lang w:bidi="he-IL"/>
        </w:rPr>
        <w:t>האשה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 בחזקה שלא ברצונה וקידש, ג (ב) [ב] והיא לא זרקה </w:t>
      </w:r>
      <w:proofErr w:type="spellStart"/>
      <w:r>
        <w:rPr>
          <w:rFonts w:ascii="Arial" w:hAnsi="Arial" w:cs="Arial"/>
          <w:color w:val="000000"/>
          <w:rtl/>
          <w:lang w:bidi="he-IL"/>
        </w:rPr>
        <w:t>הקדושין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, הוי מקודשת. אף על פי שמתחלה באונס היה, ונתן לה סתם ולא אמר לה כלום, ו] הואיל </w:t>
      </w:r>
      <w:proofErr w:type="spellStart"/>
      <w:r>
        <w:rPr>
          <w:rFonts w:ascii="Arial" w:hAnsi="Arial" w:cs="Arial"/>
          <w:color w:val="000000"/>
          <w:rtl/>
          <w:lang w:bidi="he-IL"/>
        </w:rPr>
        <w:t>ובתחלה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 דבר עמה </w:t>
      </w:r>
      <w:proofErr w:type="spellStart"/>
      <w:r>
        <w:rPr>
          <w:rFonts w:ascii="Arial" w:hAnsi="Arial" w:cs="Arial"/>
          <w:color w:val="000000"/>
          <w:rtl/>
          <w:lang w:bidi="he-IL"/>
        </w:rPr>
        <w:t>מקדושין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 (הגהות מרדכי סוף גיטין). ז] היה חייב לה מעות ואמרה לו: תן לי </w:t>
      </w:r>
      <w:proofErr w:type="spellStart"/>
      <w:r>
        <w:rPr>
          <w:rFonts w:ascii="Arial" w:hAnsi="Arial" w:cs="Arial"/>
          <w:color w:val="000000"/>
          <w:rtl/>
          <w:lang w:bidi="he-IL"/>
        </w:rPr>
        <w:t>מעותי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, (ג) וכאשר התחיל </w:t>
      </w:r>
      <w:proofErr w:type="spellStart"/>
      <w:r>
        <w:rPr>
          <w:rFonts w:ascii="Arial" w:hAnsi="Arial" w:cs="Arial"/>
          <w:color w:val="000000"/>
          <w:rtl/>
          <w:lang w:bidi="he-IL"/>
        </w:rPr>
        <w:t>ליתן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 אמר לה: הרי את מקודשת לי, ד וזרקה היא המעות מידה, אינן קידושין (טור בשם תשובת </w:t>
      </w:r>
      <w:proofErr w:type="spellStart"/>
      <w:r>
        <w:rPr>
          <w:rFonts w:ascii="Arial" w:hAnsi="Arial" w:cs="Arial"/>
          <w:color w:val="000000"/>
          <w:rtl/>
          <w:lang w:bidi="he-IL"/>
        </w:rPr>
        <w:t>הרא"ש</w:t>
      </w:r>
      <w:proofErr w:type="spellEnd"/>
      <w:r>
        <w:rPr>
          <w:rFonts w:ascii="Arial" w:hAnsi="Arial" w:cs="Arial"/>
          <w:color w:val="000000"/>
          <w:rtl/>
          <w:lang w:bidi="he-IL"/>
        </w:rPr>
        <w:t xml:space="preserve">). </w:t>
      </w:r>
    </w:p>
    <w:p w14:paraId="350C76D1" w14:textId="771897B5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</w:p>
    <w:p w14:paraId="217F4726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ערוך השולחן אבן העזר סימן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מב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2AD93394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800000"/>
          <w:sz w:val="28"/>
          <w:szCs w:val="28"/>
          <w:rtl/>
          <w:lang w:bidi="he-IL"/>
        </w:rPr>
        <w:t>סעיף ח</w:t>
      </w:r>
    </w:p>
    <w:p w14:paraId="699C8623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ועכ"ז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היה נראה לענ"ד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מדלא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כתב רבינו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הרמ"א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דהוה ספק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קדושין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או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חוששין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להקדושין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אלא סתם מקודשת משמע דגם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בכה"ג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דהוי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אומדנא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דמוכח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הוה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ג"כ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קדושין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וודאים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ולשון זה שכתב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דאין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הולכין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בקדושין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אחר אומדנות והוכחות אינו מפני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חומרא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בלבד שהרי גם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לקולא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כתב לשון זה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בסעי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' ד' ע"ש אלא מעיקר הדין כן הוא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בגיטין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וקדושין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שאין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הולכין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בהם אחר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אומדנא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אפילו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באומדנא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דמוכח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הרבה בין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לקולא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ובין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לחומרא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דבגיטין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וקדושין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אין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הולכין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רק אחר המעשה הגלוי ולא אחרי המחשבות אף אם ידענו בבירור שהמחשבה היא להיפך מהמעשה: </w:t>
      </w:r>
    </w:p>
    <w:p w14:paraId="34D2D098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</w:p>
    <w:p w14:paraId="169935EE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</w:p>
    <w:p w14:paraId="09B4CCD4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ערוך השולחן אבן העזר סימן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>מב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</w:p>
    <w:p w14:paraId="78229C81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800000"/>
          <w:sz w:val="28"/>
          <w:szCs w:val="28"/>
          <w:rtl/>
          <w:lang w:bidi="he-IL"/>
        </w:rPr>
        <w:t>סעיף י</w:t>
      </w:r>
    </w:p>
    <w:p w14:paraId="62DB099B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וטעם הדבר נ"ל לפי שגיטין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וקדושין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אינן דומים לדיני ממונות שהדברים מתקיימים בינם לבין עצמם ולא איברי סהדי אלא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לשיקרי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אבל גיטין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וקדושין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אף שהמעשה נעשה כהוגן אך בלתי עדים אין שום ממשות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בהמעשה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וכיון שהדבר תלוי רק בעדים אין להם לראות רק המעשה כאשר הוא ולא לתור אחרי מחשבות שבלב אפילו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באומדנא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דמוכח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דאם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נלך אחר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האומדנא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הרי נלך אחר עצמם ולא אחרי ראיית העדים וא"א להיות כן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בגיטין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  <w:lang w:bidi="he-IL"/>
        </w:rPr>
        <w:t>וקדושין</w:t>
      </w:r>
      <w:proofErr w:type="spellEnd"/>
      <w:r>
        <w:rPr>
          <w:rFonts w:ascii="Arial" w:hAnsi="Arial" w:cs="Arial"/>
          <w:color w:val="000000"/>
          <w:sz w:val="28"/>
          <w:szCs w:val="28"/>
          <w:rtl/>
          <w:lang w:bidi="he-IL"/>
        </w:rPr>
        <w:t xml:space="preserve">: </w:t>
      </w:r>
    </w:p>
    <w:p w14:paraId="080C6C2F" w14:textId="45927E99" w:rsidR="00E846D7" w:rsidRDefault="003B7C72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  <w:r w:rsidRPr="003B7C72">
        <w:rPr>
          <w:rFonts w:ascii="Arial" w:hAnsi="Arial" w:cs="Arial"/>
          <w:color w:val="000000"/>
          <w:sz w:val="28"/>
          <w:szCs w:val="28"/>
          <w:lang w:bidi="he-IL"/>
        </w:rPr>
        <w:lastRenderedPageBreak/>
        <w:t xml:space="preserve"> </w:t>
      </w:r>
    </w:p>
    <w:p w14:paraId="5F9EF7A0" w14:textId="6271482C" w:rsidR="00E846D7" w:rsidRPr="003B7C72" w:rsidRDefault="003B7C72" w:rsidP="003B7C72">
      <w:pPr>
        <w:tabs>
          <w:tab w:val="left" w:pos="3126"/>
        </w:tabs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b/>
          <w:bCs/>
          <w:color w:val="800000"/>
          <w:sz w:val="28"/>
          <w:szCs w:val="28"/>
          <w:u w:val="single"/>
          <w:rtl/>
          <w:lang w:bidi="he-IL"/>
        </w:rPr>
      </w:pPr>
      <w:r w:rsidRPr="003B7C72">
        <w:rPr>
          <w:rFonts w:ascii="Arial" w:hAnsi="Arial" w:cs="Arial" w:hint="cs"/>
          <w:b/>
          <w:bCs/>
          <w:sz w:val="28"/>
          <w:szCs w:val="28"/>
          <w:u w:val="single"/>
          <w:rtl/>
          <w:lang w:bidi="he-IL"/>
        </w:rPr>
        <w:t>שיערי הרב (</w:t>
      </w:r>
      <w:proofErr w:type="spellStart"/>
      <w:r w:rsidRPr="003B7C72">
        <w:rPr>
          <w:rFonts w:ascii="Arial" w:hAnsi="Arial" w:cs="Arial" w:hint="cs"/>
          <w:b/>
          <w:bCs/>
          <w:sz w:val="28"/>
          <w:szCs w:val="28"/>
          <w:u w:val="single"/>
          <w:rtl/>
          <w:lang w:bidi="he-IL"/>
        </w:rPr>
        <w:t>גר"ידס</w:t>
      </w:r>
      <w:proofErr w:type="spellEnd"/>
      <w:r w:rsidRPr="003B7C72">
        <w:rPr>
          <w:rFonts w:ascii="Arial" w:hAnsi="Arial" w:cs="Arial" w:hint="cs"/>
          <w:b/>
          <w:bCs/>
          <w:sz w:val="28"/>
          <w:szCs w:val="28"/>
          <w:u w:val="single"/>
          <w:rtl/>
          <w:lang w:bidi="he-IL"/>
        </w:rPr>
        <w:t>)</w:t>
      </w:r>
      <w:r w:rsidR="00E846D7" w:rsidRPr="003B7C72">
        <w:rPr>
          <w:rFonts w:ascii="Arial" w:hAnsi="Arial" w:cs="Arial"/>
          <w:b/>
          <w:bCs/>
          <w:color w:val="800000"/>
          <w:sz w:val="28"/>
          <w:szCs w:val="28"/>
          <w:u w:val="single"/>
          <w:rtl/>
          <w:lang w:bidi="he-IL"/>
        </w:rPr>
        <w:t xml:space="preserve"> </w:t>
      </w:r>
      <w:bookmarkStart w:id="0" w:name="_GoBack"/>
      <w:bookmarkEnd w:id="0"/>
    </w:p>
    <w:p w14:paraId="0580F052" w14:textId="77777777" w:rsidR="00E846D7" w:rsidRDefault="00E846D7" w:rsidP="00E846D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rtl/>
          <w:lang w:bidi="he-IL"/>
        </w:rPr>
      </w:pPr>
    </w:p>
    <w:p w14:paraId="04C48DBF" w14:textId="200F8136" w:rsidR="00B42ED5" w:rsidRDefault="003B7C72">
      <w:pPr>
        <w:rPr>
          <w:lang w:bidi="he-IL"/>
        </w:rPr>
      </w:pPr>
      <w:r w:rsidRPr="003B7C72">
        <w:rPr>
          <w:rFonts w:ascii="Arial" w:hAnsi="Arial" w:cs="Arial"/>
          <w:noProof/>
          <w:color w:val="000000"/>
          <w:sz w:val="28"/>
          <w:szCs w:val="28"/>
          <w:rtl/>
          <w:lang w:bidi="he-IL"/>
        </w:rPr>
        <w:drawing>
          <wp:anchor distT="0" distB="0" distL="114300" distR="114300" simplePos="0" relativeHeight="251658240" behindDoc="0" locked="0" layoutInCell="1" allowOverlap="1" wp14:anchorId="48FFE9B7" wp14:editId="463447B3">
            <wp:simplePos x="0" y="0"/>
            <wp:positionH relativeFrom="column">
              <wp:posOffset>-805180</wp:posOffset>
            </wp:positionH>
            <wp:positionV relativeFrom="paragraph">
              <wp:posOffset>318135</wp:posOffset>
            </wp:positionV>
            <wp:extent cx="3906520" cy="4352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4FE">
        <w:rPr>
          <w:rFonts w:ascii="Arial" w:hAnsi="Arial" w:cs="Arial"/>
          <w:noProof/>
          <w:color w:val="000000"/>
          <w:sz w:val="28"/>
          <w:szCs w:val="28"/>
          <w:rtl/>
          <w:lang w:bidi="he-IL"/>
        </w:rPr>
        <w:drawing>
          <wp:anchor distT="0" distB="0" distL="114300" distR="114300" simplePos="0" relativeHeight="251659264" behindDoc="0" locked="0" layoutInCell="1" allowOverlap="1" wp14:anchorId="67FDF72C" wp14:editId="3A8F736F">
            <wp:simplePos x="0" y="0"/>
            <wp:positionH relativeFrom="column">
              <wp:posOffset>2875280</wp:posOffset>
            </wp:positionH>
            <wp:positionV relativeFrom="paragraph">
              <wp:posOffset>453390</wp:posOffset>
            </wp:positionV>
            <wp:extent cx="3674745" cy="574103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57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01"/>
    <w:rsid w:val="000154FE"/>
    <w:rsid w:val="003134EB"/>
    <w:rsid w:val="003B7C72"/>
    <w:rsid w:val="004F5FCE"/>
    <w:rsid w:val="00565E01"/>
    <w:rsid w:val="00663BBB"/>
    <w:rsid w:val="008A7D80"/>
    <w:rsid w:val="009D7591"/>
    <w:rsid w:val="00B42ED5"/>
    <w:rsid w:val="00B876F9"/>
    <w:rsid w:val="00CD52B4"/>
    <w:rsid w:val="00E02428"/>
    <w:rsid w:val="00E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16D9"/>
  <w15:chartTrackingRefBased/>
  <w15:docId w15:val="{1FFCD75D-E3BD-4258-AF63-669FC12C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dcterms:created xsi:type="dcterms:W3CDTF">2018-10-10T06:37:00Z</dcterms:created>
  <dcterms:modified xsi:type="dcterms:W3CDTF">2018-10-10T11:06:00Z</dcterms:modified>
</cp:coreProperties>
</file>