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90" w:rsidRDefault="00FD0190" w:rsidP="00FD0190">
      <w:pPr>
        <w:pStyle w:val="ListParagraph"/>
        <w:numPr>
          <w:ilvl w:val="0"/>
          <w:numId w:val="1"/>
        </w:numPr>
      </w:pPr>
      <w:r w:rsidRPr="00FD0190">
        <w:rPr>
          <w:b/>
          <w:bCs/>
          <w:u w:val="single"/>
          <w:rtl/>
        </w:rPr>
        <w:t>שו"ע או"ח (שיא</w:t>
      </w:r>
      <w:r w:rsidRPr="00FD0190">
        <w:rPr>
          <w:rFonts w:hint="cs"/>
          <w:b/>
          <w:bCs/>
          <w:u w:val="single"/>
          <w:rtl/>
        </w:rPr>
        <w:t>:</w:t>
      </w:r>
      <w:r w:rsidRPr="00FD0190">
        <w:rPr>
          <w:b/>
          <w:bCs/>
          <w:u w:val="single"/>
          <w:rtl/>
        </w:rPr>
        <w:t>א)</w:t>
      </w:r>
      <w:r w:rsidRPr="00FD0190">
        <w:rPr>
          <w:rtl/>
        </w:rPr>
        <w:t xml:space="preserve"> מת שמוטל במקום שירא עליו, אם יש ככר או תינוק מטלטלו על ידיהם, </w:t>
      </w:r>
      <w:r w:rsidRPr="00FD0190">
        <w:rPr>
          <w:b/>
          <w:bCs/>
          <w:u w:val="single"/>
          <w:rtl/>
        </w:rPr>
        <w:t>ו</w:t>
      </w:r>
      <w:r w:rsidRPr="00FD0190">
        <w:rPr>
          <w:rFonts w:hint="cs"/>
          <w:b/>
          <w:bCs/>
          <w:u w:val="single"/>
          <w:rtl/>
        </w:rPr>
        <w:t>שם בס"ד</w:t>
      </w:r>
      <w:r w:rsidRPr="00FD0190">
        <w:rPr>
          <w:rFonts w:hint="cs"/>
          <w:rtl/>
        </w:rPr>
        <w:t xml:space="preserve"> פסק,</w:t>
      </w:r>
      <w:r w:rsidRPr="00FD0190">
        <w:rPr>
          <w:rtl/>
        </w:rPr>
        <w:t xml:space="preserve"> יש מי שאומר שלא הוצרכו ככר או תנוק, אלא למת ערום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אך אם הוא בכסותו אין צריך</w:t>
      </w:r>
      <w:r>
        <w:rPr>
          <w:rFonts w:hint="cs"/>
          <w:rtl/>
        </w:rPr>
        <w:t>.</w:t>
      </w:r>
    </w:p>
    <w:p w:rsidR="00FD0190" w:rsidRPr="00FD0190" w:rsidRDefault="00FD0190" w:rsidP="00FD0190">
      <w:pPr>
        <w:pStyle w:val="ListParagraph"/>
        <w:numPr>
          <w:ilvl w:val="0"/>
          <w:numId w:val="1"/>
        </w:numPr>
        <w:rPr>
          <w:rtl/>
        </w:rPr>
      </w:pPr>
      <w:r w:rsidRPr="00FD0190">
        <w:rPr>
          <w:b/>
          <w:bCs/>
          <w:u w:val="single"/>
          <w:rtl/>
        </w:rPr>
        <w:t>הט"ז והמג"א (</w:t>
      </w:r>
      <w:r w:rsidRPr="00FD0190">
        <w:rPr>
          <w:rFonts w:hint="cs"/>
          <w:b/>
          <w:bCs/>
          <w:u w:val="single"/>
          <w:rtl/>
        </w:rPr>
        <w:t>שם</w:t>
      </w:r>
      <w:r w:rsidRPr="00FD0190">
        <w:rPr>
          <w:b/>
          <w:bCs/>
          <w:u w:val="single"/>
          <w:rtl/>
        </w:rPr>
        <w:t>)</w:t>
      </w:r>
      <w:r w:rsidRPr="00FD0190">
        <w:rPr>
          <w:rtl/>
        </w:rPr>
        <w:t xml:space="preserve"> "שמעתי מקשים למה הצריכו גבי דוד המלך שמת בשבת לטלטלו ע"י ככר או ת</w:t>
      </w:r>
      <w:r w:rsidRPr="00FD0190">
        <w:rPr>
          <w:rFonts w:hint="cs"/>
          <w:rtl/>
        </w:rPr>
        <w:t>י</w:t>
      </w:r>
      <w:r w:rsidRPr="00FD0190">
        <w:rPr>
          <w:rtl/>
        </w:rPr>
        <w:t>נוק, והלא דוד לא היה ערום באותה שעה, שהרי מת בעוסקו בתורה, כדאיתא שם בגמ'"</w:t>
      </w:r>
      <w:r>
        <w:rPr>
          <w:rFonts w:hint="cs"/>
          <w:rtl/>
        </w:rPr>
        <w:t>..</w:t>
      </w:r>
      <w:r w:rsidRPr="00FD0190">
        <w:rPr>
          <w:rtl/>
        </w:rPr>
        <w:t>."וחכם אחד תירץ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דשאני בגדי מלך דאסורים לשאר בני אדם כדתנן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שורפים על המלאכים, וכמוש</w:t>
      </w:r>
      <w:r w:rsidRPr="00FD0190">
        <w:rPr>
          <w:rFonts w:hint="cs"/>
          <w:rtl/>
        </w:rPr>
        <w:t>"</w:t>
      </w:r>
      <w:r w:rsidRPr="00FD0190">
        <w:rPr>
          <w:rtl/>
        </w:rPr>
        <w:t>כ הרמב"ם בהל' מלכים, ושורפים כל בגדיהם קודם ל</w:t>
      </w:r>
      <w:r w:rsidRPr="00FD0190">
        <w:rPr>
          <w:rFonts w:hint="cs"/>
          <w:rtl/>
        </w:rPr>
        <w:t>ו</w:t>
      </w:r>
      <w:r w:rsidRPr="00FD0190">
        <w:rPr>
          <w:rtl/>
        </w:rPr>
        <w:t>ויתם, וא"כ לא היו בגדי דוד ראו</w:t>
      </w:r>
      <w:r w:rsidRPr="00FD0190">
        <w:rPr>
          <w:rFonts w:hint="cs"/>
          <w:rtl/>
        </w:rPr>
        <w:t>י</w:t>
      </w:r>
      <w:r w:rsidRPr="00FD0190">
        <w:rPr>
          <w:rtl/>
        </w:rPr>
        <w:t>ים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שגם הם נאסרו בטלטול"</w:t>
      </w:r>
      <w:r w:rsidRPr="00FD0190">
        <w:rPr>
          <w:rFonts w:hint="cs"/>
          <w:rtl/>
        </w:rPr>
        <w:t>.</w:t>
      </w:r>
    </w:p>
    <w:p w:rsidR="000D27E4" w:rsidRDefault="00FD0190" w:rsidP="00FD0190">
      <w:pPr>
        <w:pStyle w:val="ListParagraph"/>
        <w:numPr>
          <w:ilvl w:val="0"/>
          <w:numId w:val="1"/>
        </w:numPr>
        <w:rPr>
          <w:rFonts w:hint="cs"/>
        </w:rPr>
      </w:pPr>
      <w:r w:rsidRPr="00FD0190">
        <w:rPr>
          <w:rFonts w:hint="cs"/>
          <w:b/>
          <w:bCs/>
          <w:u w:val="single"/>
          <w:rtl/>
        </w:rPr>
        <w:t xml:space="preserve">גמ' </w:t>
      </w:r>
      <w:r w:rsidRPr="00FD0190">
        <w:rPr>
          <w:b/>
          <w:bCs/>
          <w:u w:val="single"/>
          <w:rtl/>
        </w:rPr>
        <w:t>פסחים (מז</w:t>
      </w:r>
      <w:r w:rsidRPr="00FD0190">
        <w:rPr>
          <w:rFonts w:hint="cs"/>
          <w:b/>
          <w:bCs/>
          <w:u w:val="single"/>
          <w:rtl/>
        </w:rPr>
        <w:t>:</w:t>
      </w:r>
      <w:r w:rsidRPr="00FD0190">
        <w:rPr>
          <w:b/>
          <w:bCs/>
          <w:u w:val="single"/>
          <w:rtl/>
        </w:rPr>
        <w:t>)</w:t>
      </w:r>
      <w:r w:rsidRPr="00FD0190">
        <w:rPr>
          <w:rtl/>
        </w:rPr>
        <w:t xml:space="preserve"> המבשל גיד הנשה בחלב ביו</w:t>
      </w:r>
      <w:r w:rsidRPr="00FD0190">
        <w:rPr>
          <w:rFonts w:hint="cs"/>
          <w:rtl/>
        </w:rPr>
        <w:t>"</w:t>
      </w:r>
      <w:r w:rsidRPr="00FD0190">
        <w:rPr>
          <w:rtl/>
        </w:rPr>
        <w:t>ט לוקה חמש</w:t>
      </w:r>
      <w:r w:rsidRPr="00FD0190">
        <w:rPr>
          <w:rFonts w:hint="cs"/>
          <w:rtl/>
        </w:rPr>
        <w:t>.</w:t>
      </w:r>
      <w:r>
        <w:rPr>
          <w:rFonts w:hint="cs"/>
          <w:rtl/>
        </w:rPr>
        <w:t>..</w:t>
      </w:r>
      <w:r w:rsidRPr="00FD0190">
        <w:rPr>
          <w:rtl/>
        </w:rPr>
        <w:t xml:space="preserve">משום </w:t>
      </w:r>
      <w:r w:rsidRPr="00FD0190">
        <w:rPr>
          <w:rFonts w:hint="cs"/>
          <w:rtl/>
        </w:rPr>
        <w:t xml:space="preserve">עצי </w:t>
      </w:r>
      <w:r w:rsidRPr="00FD0190">
        <w:rPr>
          <w:rtl/>
        </w:rPr>
        <w:t>מוקצה (דמיירי בעצים שהיו מחוברים עדיין בביהש"מ ונשרו ביו</w:t>
      </w:r>
      <w:r w:rsidRPr="00FD0190">
        <w:rPr>
          <w:rFonts w:hint="cs"/>
          <w:rtl/>
        </w:rPr>
        <w:t>"ט</w:t>
      </w:r>
      <w:r>
        <w:rPr>
          <w:rtl/>
        </w:rPr>
        <w:t xml:space="preserve"> דהוי מוקצה).</w:t>
      </w:r>
      <w:r>
        <w:rPr>
          <w:rFonts w:hint="cs"/>
          <w:rtl/>
        </w:rPr>
        <w:t>..</w:t>
      </w:r>
      <w:r w:rsidRPr="00FD0190">
        <w:rPr>
          <w:rtl/>
        </w:rPr>
        <w:t>ומוקצה דאורייתא הוא</w:t>
      </w:r>
      <w:r w:rsidRPr="00FD0190">
        <w:rPr>
          <w:rFonts w:hint="cs"/>
          <w:rtl/>
        </w:rPr>
        <w:t>?</w:t>
      </w:r>
      <w:r w:rsidRPr="00FD0190">
        <w:rPr>
          <w:rtl/>
        </w:rPr>
        <w:t xml:space="preserve"> אמר ליה אין, דכתיב והיה ביום השישי והכינו את אשר יביאו, ואזהרתה מהכא, לא תעשה כל מלאכה וכו'</w:t>
      </w:r>
      <w:r>
        <w:rPr>
          <w:rFonts w:hint="cs"/>
          <w:rtl/>
        </w:rPr>
        <w:t>.</w:t>
      </w:r>
    </w:p>
    <w:p w:rsidR="00FD0190" w:rsidRDefault="00FD0190" w:rsidP="00FD0190">
      <w:pPr>
        <w:pStyle w:val="ListParagraph"/>
        <w:numPr>
          <w:ilvl w:val="0"/>
          <w:numId w:val="1"/>
        </w:numPr>
        <w:rPr>
          <w:rFonts w:hint="cs"/>
        </w:rPr>
      </w:pPr>
      <w:r w:rsidRPr="00FD0190">
        <w:rPr>
          <w:b/>
          <w:bCs/>
          <w:u w:val="single"/>
          <w:rtl/>
        </w:rPr>
        <w:t>שו"ת חת</w:t>
      </w:r>
      <w:r w:rsidRPr="00FD0190">
        <w:rPr>
          <w:rFonts w:hint="cs"/>
          <w:b/>
          <w:bCs/>
          <w:u w:val="single"/>
          <w:rtl/>
        </w:rPr>
        <w:t>"</w:t>
      </w:r>
      <w:r w:rsidRPr="00FD0190">
        <w:rPr>
          <w:b/>
          <w:bCs/>
          <w:u w:val="single"/>
          <w:rtl/>
        </w:rPr>
        <w:t xml:space="preserve">ס </w:t>
      </w:r>
      <w:r w:rsidRPr="00FD0190">
        <w:rPr>
          <w:rFonts w:hint="cs"/>
          <w:b/>
          <w:bCs/>
          <w:u w:val="single"/>
          <w:rtl/>
        </w:rPr>
        <w:t>(</w:t>
      </w:r>
      <w:r w:rsidRPr="00FD0190">
        <w:rPr>
          <w:b/>
          <w:bCs/>
          <w:u w:val="single"/>
          <w:rtl/>
        </w:rPr>
        <w:t>או"ח סי' ע</w:t>
      </w:r>
      <w:r w:rsidRPr="00FD0190">
        <w:rPr>
          <w:rFonts w:hint="cs"/>
          <w:b/>
          <w:bCs/>
          <w:u w:val="single"/>
          <w:rtl/>
        </w:rPr>
        <w:t>"</w:t>
      </w:r>
      <w:r w:rsidRPr="00FD0190">
        <w:rPr>
          <w:b/>
          <w:bCs/>
          <w:u w:val="single"/>
          <w:rtl/>
        </w:rPr>
        <w:t>ט</w:t>
      </w:r>
      <w:r w:rsidRPr="00FD0190">
        <w:rPr>
          <w:rFonts w:hint="cs"/>
          <w:b/>
          <w:bCs/>
          <w:u w:val="single"/>
          <w:rtl/>
        </w:rPr>
        <w:t xml:space="preserve">, ובחי' חת"ס </w:t>
      </w:r>
      <w:r w:rsidRPr="00FD0190">
        <w:rPr>
          <w:b/>
          <w:bCs/>
          <w:u w:val="single"/>
          <w:rtl/>
        </w:rPr>
        <w:t>ריש ביצה מהדו"ת</w:t>
      </w:r>
      <w:r w:rsidRPr="00FD0190">
        <w:rPr>
          <w:rFonts w:hint="cs"/>
          <w:b/>
          <w:bCs/>
          <w:u w:val="single"/>
          <w:rtl/>
        </w:rPr>
        <w:t>)</w:t>
      </w:r>
      <w:r w:rsidRPr="00FD0190">
        <w:rPr>
          <w:rFonts w:hint="cs"/>
          <w:rtl/>
        </w:rPr>
        <w:t xml:space="preserve"> </w:t>
      </w:r>
      <w:r w:rsidRPr="00FD0190">
        <w:rPr>
          <w:rtl/>
        </w:rPr>
        <w:t>ואען ואומר כי שני מיני מוקצה יש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אחד לאכילה ואחד לטלטול, ומוקצה לאכילה הוא קרוב לדאורייתא או דאורייתא ממש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ואסמכוהו אקרא והיה ביום הששי והכינו את אשר יביאו, משמע שאין לאכול בשבת או יו</w:t>
      </w:r>
      <w:r w:rsidRPr="00FD0190">
        <w:rPr>
          <w:rFonts w:hint="cs"/>
          <w:rtl/>
        </w:rPr>
        <w:t>"</w:t>
      </w:r>
      <w:r w:rsidRPr="00FD0190">
        <w:rPr>
          <w:rtl/>
        </w:rPr>
        <w:t>ט בלי שהוכן מאתמול, וכל שמוקצה מדעתו הרי לא הוכן וגו', ושמור כלל זה דבזה מיושבים סתירת ש</w:t>
      </w:r>
      <w:r w:rsidRPr="00FD0190">
        <w:rPr>
          <w:rFonts w:hint="cs"/>
          <w:rtl/>
        </w:rPr>
        <w:t>ו</w:t>
      </w:r>
      <w:r w:rsidRPr="00FD0190">
        <w:rPr>
          <w:rtl/>
        </w:rPr>
        <w:t>"ע ומג"א באיזה מקומן, כל זה מוקצה לאכילה. השני מוקצה לטלטל אין בו איסור דאורייתא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אבל נחמי' בן חכל</w:t>
      </w:r>
      <w:r>
        <w:rPr>
          <w:rtl/>
        </w:rPr>
        <w:t>י' גזר עליו למגדר ההוצאה</w:t>
      </w:r>
      <w:r>
        <w:rPr>
          <w:rFonts w:hint="cs"/>
          <w:rtl/>
        </w:rPr>
        <w:t>.</w:t>
      </w:r>
    </w:p>
    <w:p w:rsidR="00FD0190" w:rsidRDefault="00FD0190" w:rsidP="00FD0190">
      <w:pPr>
        <w:pStyle w:val="ListParagraph"/>
        <w:numPr>
          <w:ilvl w:val="0"/>
          <w:numId w:val="1"/>
        </w:numPr>
        <w:rPr>
          <w:rFonts w:hint="cs"/>
        </w:rPr>
      </w:pPr>
      <w:r w:rsidRPr="00FD0190">
        <w:rPr>
          <w:rFonts w:hint="cs"/>
          <w:b/>
          <w:bCs/>
          <w:u w:val="single"/>
          <w:rtl/>
        </w:rPr>
        <w:t>שו"ע או"ח (שכה:ה)</w:t>
      </w:r>
      <w:r w:rsidRPr="00FD0190">
        <w:rPr>
          <w:rFonts w:hint="cs"/>
          <w:rtl/>
        </w:rPr>
        <w:t xml:space="preserve"> </w:t>
      </w:r>
      <w:r w:rsidRPr="00FD0190">
        <w:rPr>
          <w:rtl/>
        </w:rPr>
        <w:t>אי</w:t>
      </w:r>
      <w:r w:rsidRPr="00FD0190">
        <w:rPr>
          <w:rFonts w:hint="cs"/>
          <w:rtl/>
        </w:rPr>
        <w:t>נו יהודי</w:t>
      </w:r>
      <w:r w:rsidRPr="00FD0190">
        <w:rPr>
          <w:rtl/>
        </w:rPr>
        <w:t xml:space="preserve"> שצד דגים או ליקט פירות</w:t>
      </w:r>
      <w:r w:rsidRPr="00FD0190">
        <w:rPr>
          <w:rFonts w:hint="cs"/>
          <w:rtl/>
        </w:rPr>
        <w:t xml:space="preserve"> </w:t>
      </w:r>
      <w:r w:rsidRPr="00FD0190">
        <w:rPr>
          <w:rtl/>
        </w:rPr>
        <w:t>לעצמו, אסורים לישראל</w:t>
      </w:r>
      <w:r w:rsidRPr="00FD0190">
        <w:rPr>
          <w:rFonts w:hint="cs"/>
          <w:rtl/>
        </w:rPr>
        <w:t>.</w:t>
      </w:r>
      <w:r w:rsidRPr="00FD0190">
        <w:rPr>
          <w:rtl/>
        </w:rPr>
        <w:t xml:space="preserve"> ואפי' ספק אם לקטן או צדן היום, אסורים בו ביום</w:t>
      </w:r>
      <w:r w:rsidRPr="00FD0190">
        <w:rPr>
          <w:rFonts w:hint="cs"/>
          <w:rtl/>
        </w:rPr>
        <w:t>,</w:t>
      </w:r>
      <w:r w:rsidRPr="00FD0190">
        <w:rPr>
          <w:rtl/>
        </w:rPr>
        <w:t xml:space="preserve"> אבל לערב מותרים מיד, אפי' אם ודאי לקטן וצדן היום</w:t>
      </w:r>
      <w:r>
        <w:rPr>
          <w:rFonts w:hint="cs"/>
          <w:rtl/>
        </w:rPr>
        <w:t>.</w:t>
      </w:r>
    </w:p>
    <w:p w:rsidR="00FD0190" w:rsidRDefault="00FD0190" w:rsidP="002A6FC4">
      <w:pPr>
        <w:pStyle w:val="ListParagraph"/>
        <w:numPr>
          <w:ilvl w:val="0"/>
          <w:numId w:val="1"/>
        </w:numPr>
      </w:pPr>
      <w:r w:rsidRPr="00FD0190">
        <w:rPr>
          <w:rFonts w:hint="cs"/>
          <w:b/>
          <w:bCs/>
          <w:u w:val="single"/>
          <w:rtl/>
        </w:rPr>
        <w:t>משנ"ב</w:t>
      </w:r>
      <w:r w:rsidRPr="00FD0190">
        <w:rPr>
          <w:b/>
          <w:bCs/>
          <w:u w:val="single"/>
          <w:rtl/>
        </w:rPr>
        <w:t xml:space="preserve"> </w:t>
      </w:r>
      <w:r w:rsidRPr="00FD0190">
        <w:rPr>
          <w:rFonts w:hint="cs"/>
          <w:b/>
          <w:bCs/>
          <w:u w:val="single"/>
          <w:rtl/>
        </w:rPr>
        <w:t>(בפתיחה לסי'</w:t>
      </w:r>
      <w:r w:rsidRPr="00FD0190">
        <w:rPr>
          <w:b/>
          <w:bCs/>
          <w:u w:val="single"/>
          <w:rtl/>
        </w:rPr>
        <w:t xml:space="preserve"> ש</w:t>
      </w:r>
      <w:r w:rsidRPr="00FD0190">
        <w:rPr>
          <w:rFonts w:hint="cs"/>
          <w:b/>
          <w:bCs/>
          <w:u w:val="single"/>
          <w:rtl/>
        </w:rPr>
        <w:t>"</w:t>
      </w:r>
      <w:r w:rsidRPr="00FD0190">
        <w:rPr>
          <w:b/>
          <w:bCs/>
          <w:u w:val="single"/>
          <w:rtl/>
        </w:rPr>
        <w:t>ח</w:t>
      </w:r>
      <w:r w:rsidRPr="00FD0190">
        <w:rPr>
          <w:rFonts w:hint="cs"/>
          <w:b/>
          <w:bCs/>
          <w:u w:val="single"/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 xml:space="preserve">הנה קודם שנבאר סימן זה אקדים פתיחה קטנה. הנה איסור טלטול מוקצה שגדרו חז"ל כתב הרמב"ם </w:t>
      </w:r>
      <w:r>
        <w:rPr>
          <w:rFonts w:hint="cs"/>
          <w:rtl/>
        </w:rPr>
        <w:t>(</w:t>
      </w:r>
      <w:r>
        <w:rPr>
          <w:rtl/>
        </w:rPr>
        <w:t>פכ"ד</w:t>
      </w:r>
      <w:r>
        <w:rPr>
          <w:rFonts w:hint="cs"/>
          <w:rtl/>
        </w:rPr>
        <w:t>)</w:t>
      </w:r>
      <w:r>
        <w:rPr>
          <w:rtl/>
        </w:rPr>
        <w:t xml:space="preserve"> וז"ל</w:t>
      </w:r>
      <w:r>
        <w:rPr>
          <w:rFonts w:hint="cs"/>
          <w:rtl/>
        </w:rPr>
        <w:t>,</w:t>
      </w:r>
      <w:r>
        <w:rPr>
          <w:rtl/>
        </w:rPr>
        <w:t xml:space="preserve"> אסרו חכמים לטלטל מקצת דברים בשבת כדרך שהוא עושה בחול</w:t>
      </w:r>
      <w:r>
        <w:rPr>
          <w:rFonts w:hint="cs"/>
          <w:rtl/>
        </w:rPr>
        <w:t>.</w:t>
      </w:r>
      <w:r>
        <w:rPr>
          <w:rtl/>
        </w:rPr>
        <w:t xml:space="preserve"> ומפני מה נגעו באיסור זה</w:t>
      </w:r>
      <w:r>
        <w:rPr>
          <w:rFonts w:hint="cs"/>
          <w:rtl/>
        </w:rPr>
        <w:t>?</w:t>
      </w:r>
      <w:r>
        <w:rPr>
          <w:rtl/>
        </w:rPr>
        <w:t xml:space="preserve"> אמרו</w:t>
      </w:r>
      <w:r>
        <w:rPr>
          <w:rFonts w:hint="cs"/>
          <w:rtl/>
        </w:rPr>
        <w:t>,</w:t>
      </w:r>
      <w:r>
        <w:rPr>
          <w:rtl/>
        </w:rPr>
        <w:t xml:space="preserve"> ומה אם הזהירו נביאים וצוו שלא יהא הילוכך בשבת כהילוכך בחול</w:t>
      </w:r>
      <w:r>
        <w:rPr>
          <w:rFonts w:hint="cs"/>
          <w:rtl/>
        </w:rPr>
        <w:t>,</w:t>
      </w:r>
      <w:r>
        <w:rPr>
          <w:rtl/>
        </w:rPr>
        <w:t xml:space="preserve"> ולא שיחת השבת כשיחת החול</w:t>
      </w:r>
      <w:r>
        <w:rPr>
          <w:rFonts w:hint="cs"/>
          <w:rtl/>
        </w:rPr>
        <w:t>,</w:t>
      </w:r>
      <w:r>
        <w:rPr>
          <w:rtl/>
        </w:rPr>
        <w:t xml:space="preserve"> שנאמר ודבר דבר</w:t>
      </w:r>
      <w:r>
        <w:rPr>
          <w:rFonts w:hint="cs"/>
          <w:rtl/>
        </w:rPr>
        <w:t>,</w:t>
      </w:r>
      <w:r>
        <w:rPr>
          <w:rtl/>
        </w:rPr>
        <w:t xml:space="preserve"> ק"ו שלא יהא טלטול בשבת כטלטול בחול</w:t>
      </w:r>
      <w:r>
        <w:rPr>
          <w:rFonts w:hint="cs"/>
          <w:rtl/>
        </w:rPr>
        <w:t>,</w:t>
      </w:r>
      <w:r>
        <w:rPr>
          <w:rtl/>
        </w:rPr>
        <w:t xml:space="preserve"> כדי שלא יהא כיום חול בעיניו ויבא להגביה ולתקן כלים מפנה לפנה או מבית לבית או להצניע אבנים וכיוצא בהם</w:t>
      </w:r>
      <w:r>
        <w:rPr>
          <w:rFonts w:hint="cs"/>
          <w:rtl/>
        </w:rPr>
        <w:t>,</w:t>
      </w:r>
      <w:r>
        <w:rPr>
          <w:rtl/>
        </w:rPr>
        <w:t xml:space="preserve"> שהרי הוא בטל ויושב בביתו ויבקש דבר שיתעסק בו</w:t>
      </w:r>
      <w:r>
        <w:rPr>
          <w:rFonts w:hint="cs"/>
          <w:rtl/>
        </w:rPr>
        <w:t>,</w:t>
      </w:r>
      <w:r>
        <w:rPr>
          <w:rtl/>
        </w:rPr>
        <w:t xml:space="preserve"> ונמצא שלא שבת</w:t>
      </w:r>
      <w:r>
        <w:rPr>
          <w:rFonts w:hint="cs"/>
          <w:rtl/>
        </w:rPr>
        <w:t>,</w:t>
      </w:r>
      <w:r>
        <w:rPr>
          <w:rtl/>
        </w:rPr>
        <w:t xml:space="preserve"> ובטלה טעם שנאמר בתורה למען ינוח</w:t>
      </w:r>
      <w:r>
        <w:rPr>
          <w:rFonts w:hint="cs"/>
          <w:rtl/>
        </w:rPr>
        <w:t>.</w:t>
      </w:r>
      <w:r>
        <w:rPr>
          <w:rtl/>
        </w:rPr>
        <w:t xml:space="preserve"> ועוד כשיבקר ויטלטל כלים שמלאכתן לאיסור</w:t>
      </w:r>
      <w:r>
        <w:rPr>
          <w:rFonts w:hint="cs"/>
          <w:rtl/>
        </w:rPr>
        <w:t>,</w:t>
      </w:r>
      <w:r>
        <w:rPr>
          <w:rtl/>
        </w:rPr>
        <w:t xml:space="preserve"> אפשר שיתעסק בהם מעט ויבא לידי מלאכה</w:t>
      </w:r>
      <w:r>
        <w:rPr>
          <w:rFonts w:hint="cs"/>
          <w:rtl/>
        </w:rPr>
        <w:t>.</w:t>
      </w:r>
      <w:r>
        <w:rPr>
          <w:rtl/>
        </w:rPr>
        <w:t xml:space="preserve"> ועוד מפני שמקצת העם אינם בעלי אומניות אלא בטלים כל ימיהם כגון הטיילין ויושבי קרנות</w:t>
      </w:r>
      <w:r>
        <w:rPr>
          <w:rFonts w:hint="cs"/>
          <w:rtl/>
        </w:rPr>
        <w:t>,</w:t>
      </w:r>
      <w:r>
        <w:rPr>
          <w:rtl/>
        </w:rPr>
        <w:t xml:space="preserve"> שכל ימיהם הם שובתים ממלאכה</w:t>
      </w:r>
      <w:r>
        <w:rPr>
          <w:rFonts w:hint="cs"/>
          <w:rtl/>
        </w:rPr>
        <w:t>,</w:t>
      </w:r>
      <w:r>
        <w:rPr>
          <w:rtl/>
        </w:rPr>
        <w:t xml:space="preserve"> ואם יהיה מותר להלך ולדבר ולטלטל כשאר הימים</w:t>
      </w:r>
      <w:r>
        <w:rPr>
          <w:rFonts w:hint="cs"/>
          <w:rtl/>
        </w:rPr>
        <w:t>,</w:t>
      </w:r>
      <w:r>
        <w:rPr>
          <w:rtl/>
        </w:rPr>
        <w:t xml:space="preserve"> נמצא שלא שבת שביתה הניכרת</w:t>
      </w:r>
      <w:r>
        <w:rPr>
          <w:rFonts w:hint="cs"/>
          <w:rtl/>
        </w:rPr>
        <w:t>,</w:t>
      </w:r>
      <w:r>
        <w:rPr>
          <w:rtl/>
        </w:rPr>
        <w:t xml:space="preserve"> לפיכך שביתה בדברים אלו היא שביתה השוה בכל אדם</w:t>
      </w:r>
      <w:r>
        <w:rPr>
          <w:rFonts w:hint="cs"/>
          <w:rtl/>
        </w:rPr>
        <w:t>,</w:t>
      </w:r>
      <w:r>
        <w:rPr>
          <w:rtl/>
        </w:rPr>
        <w:t xml:space="preserve"> ומפני דברים </w:t>
      </w:r>
      <w:r>
        <w:rPr>
          <w:rtl/>
        </w:rPr>
        <w:lastRenderedPageBreak/>
        <w:t>אלו נגעו באיסור הטלטול</w:t>
      </w:r>
      <w:r>
        <w:rPr>
          <w:rFonts w:hint="cs"/>
          <w:rtl/>
        </w:rPr>
        <w:t>,</w:t>
      </w:r>
      <w:r>
        <w:rPr>
          <w:rtl/>
        </w:rPr>
        <w:t xml:space="preserve"> ואסרו שלא יטלטל אדם בשבת אלא כלים הצריך להם כמו שיתבאר עכ"ל. והראב"ד נתן טעם שהוא גדר להוצאה שאם נתיר לטלטל כל דבר</w:t>
      </w:r>
      <w:r>
        <w:rPr>
          <w:rFonts w:hint="cs"/>
          <w:rtl/>
        </w:rPr>
        <w:t>,</w:t>
      </w:r>
      <w:r>
        <w:rPr>
          <w:rtl/>
        </w:rPr>
        <w:t xml:space="preserve"> יבא עי"ז גם להוציא מרה"י לר"ה. ודע דמכאן עד ס"ס שי"ב נתבאר ד' חלקים של מוקצה. חלק אחד</w:t>
      </w:r>
      <w:r>
        <w:rPr>
          <w:rFonts w:hint="cs"/>
          <w:rtl/>
        </w:rPr>
        <w:t>,</w:t>
      </w:r>
      <w:r>
        <w:rPr>
          <w:rtl/>
        </w:rPr>
        <w:t xml:space="preserve"> מוקצה מחמת חסרון כיס</w:t>
      </w:r>
      <w:r>
        <w:rPr>
          <w:rFonts w:hint="cs"/>
          <w:rtl/>
        </w:rPr>
        <w:t>,</w:t>
      </w:r>
      <w:r>
        <w:rPr>
          <w:rtl/>
        </w:rPr>
        <w:t xml:space="preserve"> דהיינו כלי שאדם מקפיד עליו שלא יפגום ולא יתקלקל. חלק ב'</w:t>
      </w:r>
      <w:r>
        <w:rPr>
          <w:rFonts w:hint="cs"/>
          <w:rtl/>
        </w:rPr>
        <w:t>,</w:t>
      </w:r>
      <w:r>
        <w:rPr>
          <w:rtl/>
        </w:rPr>
        <w:t xml:space="preserve"> דבר שאינו כלי ולא מאכל אדם ולא מאכל בהמה</w:t>
      </w:r>
      <w:r>
        <w:rPr>
          <w:rFonts w:hint="cs"/>
          <w:rtl/>
        </w:rPr>
        <w:t>,</w:t>
      </w:r>
      <w:r>
        <w:rPr>
          <w:rtl/>
        </w:rPr>
        <w:t xml:space="preserve"> כגון אבנים</w:t>
      </w:r>
      <w:r>
        <w:rPr>
          <w:rFonts w:hint="cs"/>
          <w:rtl/>
        </w:rPr>
        <w:t>,</w:t>
      </w:r>
      <w:r>
        <w:rPr>
          <w:rtl/>
        </w:rPr>
        <w:t xml:space="preserve"> וקנים</w:t>
      </w:r>
      <w:r>
        <w:rPr>
          <w:rFonts w:hint="cs"/>
          <w:rtl/>
        </w:rPr>
        <w:t>,</w:t>
      </w:r>
      <w:r>
        <w:rPr>
          <w:rtl/>
        </w:rPr>
        <w:t xml:space="preserve"> ומעות</w:t>
      </w:r>
      <w:r>
        <w:rPr>
          <w:rFonts w:hint="cs"/>
          <w:rtl/>
        </w:rPr>
        <w:t>,</w:t>
      </w:r>
      <w:r>
        <w:rPr>
          <w:rtl/>
        </w:rPr>
        <w:t xml:space="preserve"> ועצים</w:t>
      </w:r>
      <w:r>
        <w:rPr>
          <w:rFonts w:hint="cs"/>
          <w:rtl/>
        </w:rPr>
        <w:t>,</w:t>
      </w:r>
      <w:r>
        <w:rPr>
          <w:rtl/>
        </w:rPr>
        <w:t xml:space="preserve"> וקורות</w:t>
      </w:r>
      <w:r>
        <w:rPr>
          <w:rFonts w:hint="cs"/>
          <w:rtl/>
        </w:rPr>
        <w:t>,</w:t>
      </w:r>
      <w:r>
        <w:rPr>
          <w:rtl/>
        </w:rPr>
        <w:t xml:space="preserve"> ועפר</w:t>
      </w:r>
      <w:r>
        <w:rPr>
          <w:rFonts w:hint="cs"/>
          <w:rtl/>
        </w:rPr>
        <w:t>,</w:t>
      </w:r>
      <w:r>
        <w:rPr>
          <w:rtl/>
        </w:rPr>
        <w:t xml:space="preserve"> וחול</w:t>
      </w:r>
      <w:r>
        <w:rPr>
          <w:rFonts w:hint="cs"/>
          <w:rtl/>
        </w:rPr>
        <w:t>,</w:t>
      </w:r>
      <w:r>
        <w:rPr>
          <w:rtl/>
        </w:rPr>
        <w:t xml:space="preserve"> ומת</w:t>
      </w:r>
      <w:r>
        <w:rPr>
          <w:rFonts w:hint="cs"/>
          <w:rtl/>
        </w:rPr>
        <w:t>,</w:t>
      </w:r>
      <w:r>
        <w:rPr>
          <w:rtl/>
        </w:rPr>
        <w:t xml:space="preserve"> ובע"ח</w:t>
      </w:r>
      <w:r>
        <w:rPr>
          <w:rFonts w:hint="cs"/>
          <w:rtl/>
        </w:rPr>
        <w:t>,</w:t>
      </w:r>
      <w:r>
        <w:rPr>
          <w:rtl/>
        </w:rPr>
        <w:t xml:space="preserve"> וגרוגרות וצמוקים שמונחים במקום שמתיבשים</w:t>
      </w:r>
      <w:r>
        <w:rPr>
          <w:rFonts w:hint="cs"/>
          <w:rtl/>
        </w:rPr>
        <w:t>,</w:t>
      </w:r>
      <w:r>
        <w:rPr>
          <w:rtl/>
        </w:rPr>
        <w:t xml:space="preserve"> וכל כיוצא בזה דלא חזי</w:t>
      </w:r>
      <w:r>
        <w:rPr>
          <w:rFonts w:hint="cs"/>
          <w:rtl/>
        </w:rPr>
        <w:t>,</w:t>
      </w:r>
      <w:r>
        <w:rPr>
          <w:rtl/>
        </w:rPr>
        <w:t xml:space="preserve"> ומקרי מוקצה מחמת גופו. חלק ג'</w:t>
      </w:r>
      <w:r>
        <w:rPr>
          <w:rFonts w:hint="cs"/>
          <w:rtl/>
        </w:rPr>
        <w:t>,</w:t>
      </w:r>
      <w:r>
        <w:rPr>
          <w:rtl/>
        </w:rPr>
        <w:t xml:space="preserve"> כלי שמלאכתו לאיסור. חלק ד'</w:t>
      </w:r>
      <w:r>
        <w:rPr>
          <w:rFonts w:hint="cs"/>
          <w:rtl/>
        </w:rPr>
        <w:t>,</w:t>
      </w:r>
      <w:r>
        <w:rPr>
          <w:rtl/>
        </w:rPr>
        <w:t xml:space="preserve"> כלי שמלאכתו להיתר</w:t>
      </w:r>
      <w:r>
        <w:rPr>
          <w:rFonts w:hint="cs"/>
          <w:rtl/>
        </w:rPr>
        <w:t>,</w:t>
      </w:r>
      <w:r>
        <w:rPr>
          <w:rtl/>
        </w:rPr>
        <w:t xml:space="preserve"> ומונח עליו דבר מוקצה ואפילו הוסרו בשבת כיון שהיה עליו בין השמשות מגו דאתקצאי לביה"ש אתקצאי לכולי יומא [ויש עוד ב' חלקים מוקצה</w:t>
      </w:r>
      <w:r>
        <w:rPr>
          <w:rFonts w:hint="cs"/>
          <w:rtl/>
        </w:rPr>
        <w:t>,</w:t>
      </w:r>
      <w:r>
        <w:rPr>
          <w:rtl/>
        </w:rPr>
        <w:t xml:space="preserve"> אחד דבר שהיה בין השמשות מחובר או מחוסר צידה</w:t>
      </w:r>
      <w:r>
        <w:rPr>
          <w:rFonts w:hint="cs"/>
          <w:rtl/>
        </w:rPr>
        <w:t>,</w:t>
      </w:r>
      <w:r>
        <w:rPr>
          <w:rtl/>
        </w:rPr>
        <w:t xml:space="preserve"> וזה יתבאר בהלכות יו</w:t>
      </w:r>
      <w:r>
        <w:rPr>
          <w:rFonts w:hint="cs"/>
          <w:rtl/>
        </w:rPr>
        <w:t>"ט</w:t>
      </w:r>
      <w:r>
        <w:rPr>
          <w:rtl/>
        </w:rPr>
        <w:t>. שנית מוקצה מחמת מצוה כגון עצי סוכה ונויה ויתבאר אי"ה בהל</w:t>
      </w:r>
      <w:r>
        <w:rPr>
          <w:rFonts w:hint="cs"/>
          <w:rtl/>
        </w:rPr>
        <w:t>'</w:t>
      </w:r>
      <w:r>
        <w:rPr>
          <w:rtl/>
        </w:rPr>
        <w:t xml:space="preserve"> סוכה]</w:t>
      </w:r>
      <w:r w:rsidR="002A6FC4">
        <w:rPr>
          <w:rFonts w:hint="cs"/>
          <w:rtl/>
        </w:rPr>
        <w:t xml:space="preserve">. </w:t>
      </w:r>
      <w:bookmarkStart w:id="0" w:name="_GoBack"/>
      <w:bookmarkEnd w:id="0"/>
    </w:p>
    <w:sectPr w:rsidR="00FD0190" w:rsidSect="002A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5F" w:rsidRDefault="0000225F" w:rsidP="00FD0190">
      <w:pPr>
        <w:spacing w:after="0" w:line="240" w:lineRule="auto"/>
      </w:pPr>
      <w:r>
        <w:separator/>
      </w:r>
    </w:p>
  </w:endnote>
  <w:endnote w:type="continuationSeparator" w:id="0">
    <w:p w:rsidR="0000225F" w:rsidRDefault="0000225F" w:rsidP="00F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5F" w:rsidRDefault="0000225F" w:rsidP="00FD0190">
      <w:pPr>
        <w:spacing w:after="0" w:line="240" w:lineRule="auto"/>
      </w:pPr>
      <w:r>
        <w:separator/>
      </w:r>
    </w:p>
  </w:footnote>
  <w:footnote w:type="continuationSeparator" w:id="0">
    <w:p w:rsidR="0000225F" w:rsidRDefault="0000225F" w:rsidP="00FD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467F"/>
    <w:multiLevelType w:val="hybridMultilevel"/>
    <w:tmpl w:val="400465F6"/>
    <w:lvl w:ilvl="0" w:tplc="A50AFF9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0"/>
    <w:rsid w:val="0000225F"/>
    <w:rsid w:val="000D27E4"/>
    <w:rsid w:val="002A6FC4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2536B-0DF0-41D8-A3A2-BE2C777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rkisim" w:eastAsiaTheme="minorHAnsi" w:hAnsi="Narkisim" w:cs="Narkisim"/>
        <w:sz w:val="24"/>
        <w:szCs w:val="24"/>
        <w:lang w:val="en-US" w:eastAsia="en-US" w:bidi="he-IL"/>
      </w:rPr>
    </w:rPrDefault>
    <w:pPrDefault>
      <w:pPr>
        <w:bidi/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9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FD01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19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0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Schachter</dc:creator>
  <cp:keywords/>
  <dc:description/>
  <cp:lastModifiedBy>Aharon Schachter</cp:lastModifiedBy>
  <cp:revision>1</cp:revision>
  <dcterms:created xsi:type="dcterms:W3CDTF">2015-01-21T15:57:00Z</dcterms:created>
  <dcterms:modified xsi:type="dcterms:W3CDTF">2015-01-21T16:04:00Z</dcterms:modified>
</cp:coreProperties>
</file>