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9B" w:rsidRDefault="00F121B8" w:rsidP="00F121B8">
      <w:pPr>
        <w:spacing w:after="120"/>
        <w:jc w:val="center"/>
        <w:rPr>
          <w:b/>
          <w:bCs/>
          <w:sz w:val="36"/>
          <w:szCs w:val="36"/>
        </w:rPr>
      </w:pPr>
      <w:bookmarkStart w:id="0" w:name="_GoBack"/>
      <w:bookmarkEnd w:id="0"/>
      <w:proofErr w:type="gramStart"/>
      <w:r w:rsidRPr="00F121B8">
        <w:rPr>
          <w:b/>
          <w:bCs/>
          <w:sz w:val="36"/>
          <w:szCs w:val="36"/>
        </w:rPr>
        <w:t>The End of Expertise?</w:t>
      </w:r>
      <w:proofErr w:type="gramEnd"/>
      <w:r w:rsidRPr="00F121B8">
        <w:rPr>
          <w:b/>
          <w:bCs/>
          <w:sz w:val="36"/>
          <w:szCs w:val="36"/>
        </w:rPr>
        <w:br/>
      </w:r>
      <w:proofErr w:type="spellStart"/>
      <w:r w:rsidRPr="00F121B8">
        <w:rPr>
          <w:b/>
          <w:bCs/>
          <w:i/>
          <w:iCs/>
          <w:sz w:val="36"/>
          <w:szCs w:val="36"/>
        </w:rPr>
        <w:t>Psak</w:t>
      </w:r>
      <w:proofErr w:type="spellEnd"/>
      <w:r w:rsidRPr="00F121B8">
        <w:rPr>
          <w:b/>
          <w:bCs/>
          <w:i/>
          <w:iCs/>
          <w:sz w:val="36"/>
          <w:szCs w:val="36"/>
        </w:rPr>
        <w:t xml:space="preserve"> </w:t>
      </w:r>
      <w:proofErr w:type="spellStart"/>
      <w:r w:rsidRPr="00F121B8">
        <w:rPr>
          <w:b/>
          <w:bCs/>
          <w:i/>
          <w:iCs/>
          <w:sz w:val="36"/>
          <w:szCs w:val="36"/>
        </w:rPr>
        <w:t>Halakhah</w:t>
      </w:r>
      <w:proofErr w:type="spellEnd"/>
      <w:r w:rsidRPr="00F121B8">
        <w:rPr>
          <w:b/>
          <w:bCs/>
          <w:i/>
          <w:iCs/>
          <w:sz w:val="36"/>
          <w:szCs w:val="36"/>
        </w:rPr>
        <w:t xml:space="preserve"> </w:t>
      </w:r>
      <w:r w:rsidRPr="00F121B8">
        <w:rPr>
          <w:b/>
          <w:bCs/>
          <w:sz w:val="36"/>
          <w:szCs w:val="36"/>
        </w:rPr>
        <w:t>in the Digital Age</w:t>
      </w:r>
    </w:p>
    <w:p w:rsidR="00F121B8" w:rsidRDefault="00F121B8" w:rsidP="00F121B8">
      <w:pPr>
        <w:spacing w:after="120"/>
        <w:jc w:val="center"/>
        <w:rPr>
          <w:sz w:val="24"/>
          <w:szCs w:val="24"/>
        </w:rPr>
      </w:pPr>
      <w:r w:rsidRPr="00F121B8">
        <w:rPr>
          <w:sz w:val="24"/>
          <w:szCs w:val="24"/>
        </w:rPr>
        <w:t>Elli Fischer</w:t>
      </w:r>
    </w:p>
    <w:p w:rsidR="00F121B8" w:rsidRDefault="00F121B8" w:rsidP="00F121B8">
      <w:pPr>
        <w:spacing w:after="120"/>
        <w:rPr>
          <w:b/>
          <w:bCs/>
          <w:sz w:val="24"/>
          <w:szCs w:val="24"/>
        </w:rPr>
      </w:pPr>
    </w:p>
    <w:p w:rsidR="00F121B8" w:rsidRPr="00F121B8" w:rsidRDefault="00F121B8" w:rsidP="00F121B8">
      <w:pPr>
        <w:spacing w:after="120"/>
        <w:rPr>
          <w:b/>
          <w:bCs/>
          <w:sz w:val="24"/>
          <w:szCs w:val="24"/>
        </w:rPr>
      </w:pPr>
      <w:r w:rsidRPr="00F121B8">
        <w:rPr>
          <w:b/>
          <w:bCs/>
          <w:sz w:val="24"/>
          <w:szCs w:val="24"/>
        </w:rPr>
        <w:t xml:space="preserve">Jacob Katz, </w:t>
      </w:r>
      <w:r w:rsidRPr="00F121B8">
        <w:rPr>
          <w:b/>
          <w:bCs/>
          <w:i/>
          <w:iCs/>
          <w:sz w:val="24"/>
          <w:szCs w:val="24"/>
        </w:rPr>
        <w:t>Tradition and Crisis</w:t>
      </w:r>
      <w:r w:rsidRPr="00F121B8">
        <w:rPr>
          <w:b/>
          <w:bCs/>
          <w:sz w:val="24"/>
          <w:szCs w:val="24"/>
        </w:rPr>
        <w:t>, p. 143.</w:t>
      </w:r>
    </w:p>
    <w:p w:rsidR="00F121B8" w:rsidRPr="00F121B8" w:rsidRDefault="00F121B8" w:rsidP="00F121B8">
      <w:pPr>
        <w:spacing w:after="120"/>
        <w:rPr>
          <w:sz w:val="24"/>
          <w:szCs w:val="24"/>
        </w:rPr>
      </w:pPr>
      <w:r w:rsidRPr="00F121B8">
        <w:rPr>
          <w:sz w:val="24"/>
          <w:szCs w:val="24"/>
        </w:rPr>
        <w:t xml:space="preserve">There was a sort of unofficial hierarchy of scholars qualified to rule on Jewish law even though its ranks were not clearly defined or marked. “Spontaneous” public opinion in the </w:t>
      </w:r>
      <w:proofErr w:type="spellStart"/>
      <w:r w:rsidRPr="00F121B8">
        <w:rPr>
          <w:i/>
          <w:iCs/>
          <w:sz w:val="24"/>
          <w:szCs w:val="24"/>
        </w:rPr>
        <w:t>kehila</w:t>
      </w:r>
      <w:proofErr w:type="spellEnd"/>
      <w:r w:rsidRPr="00F121B8">
        <w:rPr>
          <w:sz w:val="24"/>
          <w:szCs w:val="24"/>
        </w:rPr>
        <w:t>, in the supra-</w:t>
      </w:r>
      <w:proofErr w:type="spellStart"/>
      <w:r w:rsidRPr="00F121B8">
        <w:rPr>
          <w:i/>
          <w:iCs/>
          <w:sz w:val="24"/>
          <w:szCs w:val="24"/>
        </w:rPr>
        <w:t>kehila</w:t>
      </w:r>
      <w:proofErr w:type="spellEnd"/>
      <w:r w:rsidRPr="00F121B8">
        <w:rPr>
          <w:sz w:val="24"/>
          <w:szCs w:val="24"/>
        </w:rPr>
        <w:t xml:space="preserve">, or even in the Jewish world at large determined the place of each jurist in this hierarchy of halakhic authority. </w:t>
      </w:r>
    </w:p>
    <w:p w:rsidR="00F121B8" w:rsidRDefault="00F121B8" w:rsidP="00F121B8">
      <w:pPr>
        <w:spacing w:after="120"/>
        <w:rPr>
          <w:sz w:val="24"/>
          <w:szCs w:val="24"/>
        </w:rPr>
      </w:pPr>
    </w:p>
    <w:p w:rsidR="00F121B8" w:rsidRPr="00F121B8" w:rsidRDefault="00F121B8" w:rsidP="00F121B8">
      <w:pPr>
        <w:spacing w:after="120"/>
        <w:rPr>
          <w:b/>
          <w:bCs/>
          <w:sz w:val="24"/>
          <w:szCs w:val="24"/>
        </w:rPr>
      </w:pPr>
      <w:r w:rsidRPr="00F121B8">
        <w:rPr>
          <w:b/>
          <w:bCs/>
          <w:sz w:val="24"/>
          <w:szCs w:val="24"/>
        </w:rPr>
        <w:t>R. Moshe Feinstein</w:t>
      </w:r>
      <w:r w:rsidRPr="00F121B8">
        <w:rPr>
          <w:b/>
          <w:bCs/>
          <w:sz w:val="24"/>
          <w:szCs w:val="24"/>
        </w:rPr>
        <w:t xml:space="preserve">, interview with </w:t>
      </w:r>
      <w:r w:rsidRPr="00F121B8">
        <w:rPr>
          <w:b/>
          <w:bCs/>
          <w:sz w:val="24"/>
          <w:szCs w:val="24"/>
        </w:rPr>
        <w:t xml:space="preserve">the </w:t>
      </w:r>
      <w:r w:rsidRPr="00F121B8">
        <w:rPr>
          <w:b/>
          <w:bCs/>
          <w:i/>
          <w:iCs/>
          <w:sz w:val="24"/>
          <w:szCs w:val="24"/>
        </w:rPr>
        <w:t>New York Times</w:t>
      </w:r>
      <w:r w:rsidRPr="00F121B8">
        <w:rPr>
          <w:b/>
          <w:bCs/>
          <w:sz w:val="24"/>
          <w:szCs w:val="24"/>
        </w:rPr>
        <w:t>, 1975</w:t>
      </w:r>
    </w:p>
    <w:p w:rsidR="00F121B8" w:rsidRDefault="00F121B8" w:rsidP="00F121B8">
      <w:pPr>
        <w:spacing w:after="120"/>
        <w:rPr>
          <w:sz w:val="24"/>
          <w:szCs w:val="24"/>
        </w:rPr>
      </w:pPr>
      <w:r w:rsidRPr="00F121B8">
        <w:rPr>
          <w:sz w:val="24"/>
          <w:szCs w:val="24"/>
        </w:rPr>
        <w:t>If people see that one answer is good and another answer is good, gradually you will be accepted.</w:t>
      </w:r>
    </w:p>
    <w:p w:rsidR="00F121B8" w:rsidRDefault="00F121B8" w:rsidP="00F121B8">
      <w:pPr>
        <w:spacing w:after="120"/>
        <w:rPr>
          <w:b/>
          <w:bCs/>
          <w:sz w:val="24"/>
          <w:szCs w:val="24"/>
        </w:rPr>
      </w:pPr>
    </w:p>
    <w:p w:rsidR="00F121B8" w:rsidRPr="00F121B8" w:rsidRDefault="00F121B8" w:rsidP="00F121B8">
      <w:pPr>
        <w:spacing w:after="120"/>
        <w:rPr>
          <w:b/>
          <w:bCs/>
          <w:sz w:val="24"/>
          <w:szCs w:val="24"/>
        </w:rPr>
      </w:pPr>
      <w:r w:rsidRPr="00F121B8">
        <w:rPr>
          <w:b/>
          <w:bCs/>
          <w:sz w:val="24"/>
          <w:szCs w:val="24"/>
        </w:rPr>
        <w:t xml:space="preserve">R. Yehuda Modena, </w:t>
      </w:r>
      <w:r w:rsidRPr="00F121B8">
        <w:rPr>
          <w:b/>
          <w:bCs/>
          <w:i/>
          <w:iCs/>
          <w:sz w:val="24"/>
          <w:szCs w:val="24"/>
        </w:rPr>
        <w:t xml:space="preserve">Ari </w:t>
      </w:r>
      <w:proofErr w:type="spellStart"/>
      <w:r w:rsidRPr="00F121B8">
        <w:rPr>
          <w:b/>
          <w:bCs/>
          <w:i/>
          <w:iCs/>
          <w:sz w:val="24"/>
          <w:szCs w:val="24"/>
        </w:rPr>
        <w:t>Nohem</w:t>
      </w:r>
      <w:proofErr w:type="spellEnd"/>
      <w:r w:rsidRPr="00F121B8">
        <w:rPr>
          <w:b/>
          <w:bCs/>
          <w:sz w:val="24"/>
          <w:szCs w:val="24"/>
        </w:rPr>
        <w:t>, ch. 15</w:t>
      </w:r>
    </w:p>
    <w:p w:rsidR="00F121B8" w:rsidRDefault="00F121B8" w:rsidP="00F121B8">
      <w:pPr>
        <w:bidi/>
        <w:spacing w:after="120"/>
        <w:rPr>
          <w:sz w:val="24"/>
          <w:szCs w:val="24"/>
        </w:rPr>
      </w:pPr>
      <w:r w:rsidRPr="00F121B8">
        <w:rPr>
          <w:sz w:val="24"/>
          <w:szCs w:val="24"/>
        </w:rPr>
        <w:drawing>
          <wp:inline distT="0" distB="0" distL="0" distR="0" wp14:anchorId="69236EF3" wp14:editId="0F645086">
            <wp:extent cx="4686300" cy="712166"/>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37022"/>
                    <a:stretch/>
                  </pic:blipFill>
                  <pic:spPr bwMode="auto">
                    <a:xfrm>
                      <a:off x="0" y="0"/>
                      <a:ext cx="4686300" cy="712166"/>
                    </a:xfrm>
                    <a:prstGeom prst="rect">
                      <a:avLst/>
                    </a:prstGeom>
                    <a:noFill/>
                    <a:ln>
                      <a:noFill/>
                    </a:ln>
                    <a:extLst/>
                  </pic:spPr>
                </pic:pic>
              </a:graphicData>
            </a:graphic>
          </wp:inline>
        </w:drawing>
      </w:r>
    </w:p>
    <w:p w:rsidR="00F121B8" w:rsidRPr="00F121B8" w:rsidRDefault="00F121B8" w:rsidP="00F121B8">
      <w:pPr>
        <w:spacing w:after="120"/>
        <w:rPr>
          <w:b/>
          <w:bCs/>
          <w:sz w:val="24"/>
          <w:szCs w:val="24"/>
        </w:rPr>
      </w:pPr>
      <w:r w:rsidRPr="00F121B8">
        <w:rPr>
          <w:b/>
          <w:bCs/>
          <w:sz w:val="24"/>
          <w:szCs w:val="24"/>
        </w:rPr>
        <w:t xml:space="preserve">R. Hershel </w:t>
      </w:r>
      <w:proofErr w:type="spellStart"/>
      <w:r w:rsidRPr="00F121B8">
        <w:rPr>
          <w:b/>
          <w:bCs/>
          <w:sz w:val="24"/>
          <w:szCs w:val="24"/>
        </w:rPr>
        <w:t>Schachter</w:t>
      </w:r>
      <w:proofErr w:type="spellEnd"/>
      <w:r w:rsidRPr="00F121B8">
        <w:rPr>
          <w:b/>
          <w:bCs/>
          <w:sz w:val="24"/>
          <w:szCs w:val="24"/>
        </w:rPr>
        <w:t xml:space="preserve">, </w:t>
      </w:r>
      <w:proofErr w:type="spellStart"/>
      <w:r w:rsidRPr="00F121B8">
        <w:rPr>
          <w:b/>
          <w:bCs/>
          <w:sz w:val="24"/>
          <w:szCs w:val="24"/>
        </w:rPr>
        <w:t>Responsum</w:t>
      </w:r>
      <w:proofErr w:type="spellEnd"/>
      <w:r w:rsidRPr="00F121B8">
        <w:rPr>
          <w:b/>
          <w:bCs/>
          <w:sz w:val="24"/>
          <w:szCs w:val="24"/>
        </w:rPr>
        <w:t xml:space="preserve"> on Women and </w:t>
      </w:r>
      <w:proofErr w:type="spellStart"/>
      <w:r w:rsidRPr="00F121B8">
        <w:rPr>
          <w:b/>
          <w:bCs/>
          <w:i/>
          <w:iCs/>
          <w:sz w:val="24"/>
          <w:szCs w:val="24"/>
        </w:rPr>
        <w:t>Tefillin</w:t>
      </w:r>
      <w:proofErr w:type="spellEnd"/>
    </w:p>
    <w:p w:rsidR="00F121B8" w:rsidRDefault="00F121B8" w:rsidP="00F121B8">
      <w:pPr>
        <w:spacing w:after="120"/>
        <w:rPr>
          <w:sz w:val="24"/>
          <w:szCs w:val="24"/>
        </w:rPr>
      </w:pPr>
      <w:r w:rsidRPr="00F121B8">
        <w:rPr>
          <w:sz w:val="24"/>
          <w:szCs w:val="24"/>
        </w:rPr>
        <w:drawing>
          <wp:inline distT="0" distB="0" distL="0" distR="0" wp14:anchorId="743953A8" wp14:editId="564B3C7B">
            <wp:extent cx="5476875" cy="1866269"/>
            <wp:effectExtent l="0" t="0" r="0" b="635"/>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28210"/>
                    <a:stretch/>
                  </pic:blipFill>
                  <pic:spPr bwMode="auto">
                    <a:xfrm>
                      <a:off x="0" y="0"/>
                      <a:ext cx="5486400" cy="1869515"/>
                    </a:xfrm>
                    <a:prstGeom prst="rect">
                      <a:avLst/>
                    </a:prstGeom>
                    <a:noFill/>
                    <a:ln>
                      <a:noFill/>
                    </a:ln>
                    <a:extLst>
                      <a:ext uri="{53640926-AAD7-44D8-BBD7-CCE9431645EC}">
                        <a14:shadowObscured xmlns:a14="http://schemas.microsoft.com/office/drawing/2010/main"/>
                      </a:ext>
                    </a:extLst>
                  </pic:spPr>
                </pic:pic>
              </a:graphicData>
            </a:graphic>
          </wp:inline>
        </w:drawing>
      </w:r>
    </w:p>
    <w:p w:rsidR="00C91252" w:rsidRDefault="00C91252">
      <w:pPr>
        <w:rPr>
          <w:b/>
          <w:bCs/>
          <w:sz w:val="24"/>
          <w:szCs w:val="24"/>
          <w:lang w:bidi="yi-Hebr"/>
        </w:rPr>
      </w:pPr>
      <w:r>
        <w:rPr>
          <w:b/>
          <w:bCs/>
          <w:sz w:val="24"/>
          <w:szCs w:val="24"/>
          <w:lang w:bidi="yi-Hebr"/>
        </w:rPr>
        <w:br w:type="page"/>
      </w:r>
    </w:p>
    <w:p w:rsidR="00192109" w:rsidRPr="00192109" w:rsidRDefault="00192109" w:rsidP="00455148">
      <w:pPr>
        <w:spacing w:after="120"/>
        <w:rPr>
          <w:b/>
          <w:bCs/>
          <w:sz w:val="24"/>
          <w:szCs w:val="24"/>
          <w:lang w:bidi="yi-Hebr"/>
        </w:rPr>
      </w:pPr>
      <w:r>
        <w:rPr>
          <w:b/>
          <w:bCs/>
          <w:sz w:val="24"/>
          <w:szCs w:val="24"/>
          <w:lang w:bidi="yi-Hebr"/>
        </w:rPr>
        <w:lastRenderedPageBreak/>
        <w:t>R</w:t>
      </w:r>
      <w:r w:rsidR="00455148">
        <w:rPr>
          <w:b/>
          <w:bCs/>
          <w:sz w:val="24"/>
          <w:szCs w:val="24"/>
          <w:lang w:bidi="yi-Hebr"/>
        </w:rPr>
        <w:t xml:space="preserve">. Yosef </w:t>
      </w:r>
      <w:proofErr w:type="spellStart"/>
      <w:r w:rsidR="00455148">
        <w:rPr>
          <w:b/>
          <w:bCs/>
          <w:sz w:val="24"/>
          <w:szCs w:val="24"/>
          <w:lang w:bidi="yi-Hebr"/>
        </w:rPr>
        <w:t>Tzvi</w:t>
      </w:r>
      <w:proofErr w:type="spellEnd"/>
      <w:r w:rsidR="00455148">
        <w:rPr>
          <w:b/>
          <w:bCs/>
          <w:sz w:val="24"/>
          <w:szCs w:val="24"/>
          <w:lang w:bidi="yi-Hebr"/>
        </w:rPr>
        <w:t xml:space="preserve"> </w:t>
      </w:r>
      <w:proofErr w:type="spellStart"/>
      <w:r>
        <w:rPr>
          <w:b/>
          <w:bCs/>
          <w:sz w:val="24"/>
          <w:szCs w:val="24"/>
          <w:lang w:bidi="yi-Hebr"/>
        </w:rPr>
        <w:t>Rimon</w:t>
      </w:r>
      <w:proofErr w:type="spellEnd"/>
    </w:p>
    <w:p w:rsidR="000B5E17" w:rsidRDefault="00104323" w:rsidP="00F121B8">
      <w:pPr>
        <w:spacing w:after="120"/>
        <w:rPr>
          <w:sz w:val="24"/>
          <w:szCs w:val="24"/>
          <w:lang w:bidi="yi-Hebr"/>
        </w:rPr>
      </w:pPr>
      <w:r>
        <w:rPr>
          <w:noProof/>
          <w:sz w:val="24"/>
          <w:szCs w:val="24"/>
        </w:rPr>
        <w:drawing>
          <wp:inline distT="0" distB="0" distL="0" distR="0">
            <wp:extent cx="2989876" cy="5963972"/>
            <wp:effectExtent l="0" t="1270" r="0" b="0"/>
            <wp:docPr id="1" name="Picture 1" descr="C:\Users\Elli\Downloads\IMG_20180203_202713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Downloads\IMG_20180203_20271303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63" r="-1"/>
                    <a:stretch/>
                  </pic:blipFill>
                  <pic:spPr bwMode="auto">
                    <a:xfrm rot="16200000">
                      <a:off x="0" y="0"/>
                      <a:ext cx="2994070" cy="5972338"/>
                    </a:xfrm>
                    <a:prstGeom prst="rect">
                      <a:avLst/>
                    </a:prstGeom>
                    <a:noFill/>
                    <a:ln>
                      <a:noFill/>
                    </a:ln>
                    <a:extLst>
                      <a:ext uri="{53640926-AAD7-44D8-BBD7-CCE9431645EC}">
                        <a14:shadowObscured xmlns:a14="http://schemas.microsoft.com/office/drawing/2010/main"/>
                      </a:ext>
                    </a:extLst>
                  </pic:spPr>
                </pic:pic>
              </a:graphicData>
            </a:graphic>
          </wp:inline>
        </w:drawing>
      </w:r>
    </w:p>
    <w:p w:rsidR="000B5E17" w:rsidRDefault="000B5E17">
      <w:pPr>
        <w:rPr>
          <w:sz w:val="24"/>
          <w:szCs w:val="24"/>
        </w:rPr>
      </w:pPr>
    </w:p>
    <w:p w:rsidR="000B5E17" w:rsidRDefault="000B5E17" w:rsidP="00BB14A2">
      <w:pPr>
        <w:spacing w:after="120"/>
        <w:rPr>
          <w:b/>
          <w:bCs/>
          <w:sz w:val="24"/>
          <w:szCs w:val="24"/>
          <w:lang w:bidi="yi-Hebr"/>
        </w:rPr>
      </w:pPr>
      <w:r>
        <w:rPr>
          <w:b/>
          <w:bCs/>
          <w:sz w:val="24"/>
          <w:szCs w:val="24"/>
          <w:lang w:bidi="yi-Hebr"/>
        </w:rPr>
        <w:t xml:space="preserve">R. Eliezer </w:t>
      </w:r>
      <w:proofErr w:type="spellStart"/>
      <w:r>
        <w:rPr>
          <w:b/>
          <w:bCs/>
          <w:sz w:val="24"/>
          <w:szCs w:val="24"/>
          <w:lang w:bidi="yi-Hebr"/>
        </w:rPr>
        <w:t>Melamed</w:t>
      </w:r>
      <w:proofErr w:type="spellEnd"/>
      <w:r>
        <w:rPr>
          <w:b/>
          <w:bCs/>
          <w:sz w:val="24"/>
          <w:szCs w:val="24"/>
          <w:lang w:bidi="yi-Hebr"/>
        </w:rPr>
        <w:t xml:space="preserve">, </w:t>
      </w:r>
      <w:r>
        <w:rPr>
          <w:b/>
          <w:bCs/>
          <w:i/>
          <w:iCs/>
          <w:sz w:val="24"/>
          <w:szCs w:val="24"/>
          <w:lang w:bidi="yi-Hebr"/>
        </w:rPr>
        <w:t>Peninei Halakha</w:t>
      </w:r>
      <w:r>
        <w:rPr>
          <w:b/>
          <w:bCs/>
          <w:sz w:val="24"/>
          <w:szCs w:val="24"/>
          <w:lang w:bidi="yi-Hebr"/>
        </w:rPr>
        <w:t xml:space="preserve">, </w:t>
      </w:r>
      <w:r>
        <w:rPr>
          <w:b/>
          <w:bCs/>
          <w:i/>
          <w:iCs/>
          <w:sz w:val="24"/>
          <w:szCs w:val="24"/>
          <w:lang w:bidi="yi-Hebr"/>
        </w:rPr>
        <w:t>Simḥat Ha-</w:t>
      </w:r>
      <w:proofErr w:type="spellStart"/>
      <w:r>
        <w:rPr>
          <w:b/>
          <w:bCs/>
          <w:i/>
          <w:iCs/>
          <w:sz w:val="24"/>
          <w:szCs w:val="24"/>
          <w:lang w:bidi="yi-Hebr"/>
        </w:rPr>
        <w:t>bayit</w:t>
      </w:r>
      <w:proofErr w:type="spellEnd"/>
      <w:r>
        <w:rPr>
          <w:b/>
          <w:bCs/>
          <w:sz w:val="24"/>
          <w:szCs w:val="24"/>
          <w:lang w:bidi="yi-Hebr"/>
        </w:rPr>
        <w:t xml:space="preserve">, </w:t>
      </w:r>
      <w:r w:rsidR="00BB14A2">
        <w:rPr>
          <w:b/>
          <w:bCs/>
          <w:sz w:val="24"/>
          <w:szCs w:val="24"/>
          <w:lang w:bidi="yi-Hebr"/>
        </w:rPr>
        <w:t>3:15</w:t>
      </w:r>
      <w:r>
        <w:rPr>
          <w:b/>
          <w:bCs/>
          <w:sz w:val="24"/>
          <w:szCs w:val="24"/>
          <w:lang w:bidi="yi-Hebr"/>
        </w:rPr>
        <w:t>, pp. 93-97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3528"/>
      </w:tblGrid>
      <w:tr w:rsidR="000B5E17" w:rsidTr="00BB14A2">
        <w:tc>
          <w:tcPr>
            <w:tcW w:w="5328" w:type="dxa"/>
          </w:tcPr>
          <w:p w:rsidR="000B5E17" w:rsidRPr="002520E1" w:rsidRDefault="000B5E17" w:rsidP="000B5E17">
            <w:pPr>
              <w:spacing w:after="120"/>
              <w:rPr>
                <w:rFonts w:asciiTheme="majorBidi" w:hAnsiTheme="majorBidi" w:cstheme="majorBidi"/>
                <w:b/>
                <w:bCs/>
                <w:lang w:bidi="yi-Hebr"/>
              </w:rPr>
            </w:pPr>
            <w:r w:rsidRPr="002520E1">
              <w:rPr>
                <w:rFonts w:asciiTheme="majorBidi" w:hAnsiTheme="majorBidi" w:cstheme="majorBidi"/>
              </w:rPr>
              <w:t xml:space="preserve">The </w:t>
            </w:r>
            <w:r w:rsidRPr="002520E1">
              <w:rPr>
                <w:rFonts w:asciiTheme="majorBidi" w:hAnsiTheme="majorBidi" w:cstheme="majorBidi"/>
              </w:rPr>
              <w:t xml:space="preserve">general state of </w:t>
            </w:r>
            <w:r w:rsidRPr="002520E1">
              <w:rPr>
                <w:rFonts w:asciiTheme="majorBidi" w:hAnsiTheme="majorBidi" w:cstheme="majorBidi"/>
              </w:rPr>
              <w:t>the Jewish people affects the joy of</w:t>
            </w:r>
            <w:r w:rsidRPr="002520E1">
              <w:rPr>
                <w:rFonts w:asciiTheme="majorBidi" w:hAnsiTheme="majorBidi" w:cstheme="majorBidi"/>
              </w:rPr>
              <w:t xml:space="preserve"> the mitzva [of </w:t>
            </w:r>
            <w:proofErr w:type="spellStart"/>
            <w:r w:rsidRPr="002520E1">
              <w:rPr>
                <w:rFonts w:asciiTheme="majorBidi" w:hAnsiTheme="majorBidi" w:cstheme="majorBidi"/>
                <w:i/>
                <w:iCs/>
              </w:rPr>
              <w:t>ona</w:t>
            </w:r>
            <w:proofErr w:type="spellEnd"/>
            <w:r w:rsidRPr="002520E1">
              <w:rPr>
                <w:rFonts w:asciiTheme="majorBidi" w:hAnsiTheme="majorBidi" w:cstheme="majorBidi"/>
              </w:rPr>
              <w:t xml:space="preserve">] because </w:t>
            </w:r>
            <w:r w:rsidRPr="002520E1">
              <w:rPr>
                <w:rFonts w:asciiTheme="majorBidi" w:hAnsiTheme="majorBidi" w:cstheme="majorBidi"/>
              </w:rPr>
              <w:t xml:space="preserve">the sacred </w:t>
            </w:r>
            <w:r w:rsidRPr="002520E1">
              <w:rPr>
                <w:rFonts w:asciiTheme="majorBidi" w:hAnsiTheme="majorBidi" w:cstheme="majorBidi"/>
              </w:rPr>
              <w:t xml:space="preserve">bond between </w:t>
            </w:r>
            <w:r w:rsidRPr="002520E1">
              <w:rPr>
                <w:rFonts w:asciiTheme="majorBidi" w:hAnsiTheme="majorBidi" w:cstheme="majorBidi"/>
              </w:rPr>
              <w:t>every Jewish husband and wife parallels the</w:t>
            </w:r>
            <w:r w:rsidRPr="002520E1">
              <w:rPr>
                <w:rFonts w:asciiTheme="majorBidi" w:hAnsiTheme="majorBidi" w:cstheme="majorBidi"/>
              </w:rPr>
              <w:t xml:space="preserve"> bond between </w:t>
            </w:r>
            <w:r w:rsidRPr="002520E1">
              <w:rPr>
                <w:rFonts w:asciiTheme="majorBidi" w:hAnsiTheme="majorBidi" w:cstheme="majorBidi"/>
              </w:rPr>
              <w:t xml:space="preserve">God and the Jewish </w:t>
            </w:r>
            <w:r w:rsidRPr="002520E1">
              <w:rPr>
                <w:rFonts w:asciiTheme="majorBidi" w:hAnsiTheme="majorBidi" w:cstheme="majorBidi"/>
              </w:rPr>
              <w:t>people</w:t>
            </w:r>
            <w:r w:rsidRPr="002520E1">
              <w:rPr>
                <w:rFonts w:asciiTheme="majorBidi" w:hAnsiTheme="majorBidi" w:cstheme="majorBidi"/>
              </w:rPr>
              <w:t>.</w:t>
            </w:r>
          </w:p>
        </w:tc>
        <w:tc>
          <w:tcPr>
            <w:tcW w:w="3528" w:type="dxa"/>
          </w:tcPr>
          <w:p w:rsidR="000B5E17" w:rsidRDefault="000B5E17" w:rsidP="000B5E17">
            <w:pPr>
              <w:bidi/>
              <w:spacing w:after="120"/>
              <w:rPr>
                <w:b/>
                <w:bCs/>
                <w:sz w:val="24"/>
                <w:szCs w:val="24"/>
                <w:lang w:bidi="yi-Hebr"/>
              </w:rPr>
            </w:pPr>
            <w:r>
              <w:rPr>
                <w:rFonts w:hint="cs"/>
                <w:rtl/>
              </w:rPr>
              <w:t xml:space="preserve">מצבם הכללי של ישראל משפיע על שמחת המצווה, משום שהקשר המקודש </w:t>
            </w:r>
            <w:r w:rsidRPr="00E93864">
              <w:rPr>
                <w:rFonts w:hint="cs"/>
                <w:rtl/>
              </w:rPr>
              <w:t>שבין כל איש ואשה שבישראל</w:t>
            </w:r>
            <w:r>
              <w:rPr>
                <w:rFonts w:hint="cs"/>
                <w:rtl/>
              </w:rPr>
              <w:t xml:space="preserve"> מקביל לקשר שבין הקב"ה לכנסת ישראל.</w:t>
            </w:r>
          </w:p>
        </w:tc>
      </w:tr>
      <w:tr w:rsidR="000B5E17" w:rsidTr="00BB14A2">
        <w:tc>
          <w:tcPr>
            <w:tcW w:w="5328" w:type="dxa"/>
          </w:tcPr>
          <w:p w:rsidR="000B5E17" w:rsidRPr="002520E1" w:rsidRDefault="000B5E17" w:rsidP="000B5E17">
            <w:pPr>
              <w:spacing w:after="120"/>
              <w:rPr>
                <w:rFonts w:asciiTheme="majorBidi" w:hAnsiTheme="majorBidi" w:cstheme="majorBidi"/>
              </w:rPr>
            </w:pPr>
            <w:r w:rsidRPr="002520E1">
              <w:rPr>
                <w:rFonts w:asciiTheme="majorBidi" w:hAnsiTheme="majorBidi" w:cstheme="majorBidi"/>
              </w:rPr>
              <w:t>In contrast, when the Jewish people distance themselves from God, the pleasure of this mitzva is diminished as well. As the Sages said, “Since the destruction of the Temple, sexual pleasure has been taken</w:t>
            </w:r>
            <w:r w:rsidRPr="002520E1">
              <w:rPr>
                <w:rFonts w:asciiTheme="majorBidi" w:hAnsiTheme="majorBidi" w:cstheme="majorBidi"/>
              </w:rPr>
              <w:t xml:space="preserve"> away </w:t>
            </w:r>
            <w:r w:rsidRPr="002520E1">
              <w:rPr>
                <w:rFonts w:asciiTheme="majorBidi" w:hAnsiTheme="majorBidi" w:cstheme="majorBidi"/>
              </w:rPr>
              <w:t>and given to sinners” (</w:t>
            </w:r>
            <w:r w:rsidRPr="002520E1">
              <w:rPr>
                <w:rFonts w:asciiTheme="majorBidi" w:hAnsiTheme="majorBidi" w:cstheme="majorBidi"/>
                <w:i/>
                <w:iCs/>
              </w:rPr>
              <w:t>Sanhedrin</w:t>
            </w:r>
            <w:r w:rsidRPr="002520E1">
              <w:rPr>
                <w:rFonts w:asciiTheme="majorBidi" w:hAnsiTheme="majorBidi" w:cstheme="majorBidi"/>
              </w:rPr>
              <w:t xml:space="preserve"> 75a).</w:t>
            </w:r>
          </w:p>
        </w:tc>
        <w:tc>
          <w:tcPr>
            <w:tcW w:w="3528" w:type="dxa"/>
          </w:tcPr>
          <w:p w:rsidR="000B5E17" w:rsidRDefault="000B5E17" w:rsidP="000B5E17">
            <w:pPr>
              <w:bidi/>
              <w:spacing w:after="120"/>
              <w:rPr>
                <w:rFonts w:hint="cs"/>
                <w:rtl/>
              </w:rPr>
            </w:pPr>
            <w:r>
              <w:rPr>
                <w:rFonts w:hint="cs"/>
                <w:rtl/>
              </w:rPr>
              <w:t>לעומת זאת, כאשר</w:t>
            </w:r>
            <w:r w:rsidRPr="00D45A16">
              <w:rPr>
                <w:rFonts w:hint="cs"/>
                <w:rtl/>
              </w:rPr>
              <w:t xml:space="preserve"> ישראל </w:t>
            </w:r>
            <w:r>
              <w:rPr>
                <w:rFonts w:hint="cs"/>
                <w:rtl/>
              </w:rPr>
              <w:t xml:space="preserve">מתרחקים מה', </w:t>
            </w:r>
            <w:r w:rsidRPr="00D45A16">
              <w:rPr>
                <w:rFonts w:hint="cs"/>
                <w:rtl/>
              </w:rPr>
              <w:t xml:space="preserve">גם שמחת המצווה נפגמת, וכפי שאמרו חכמים </w:t>
            </w:r>
            <w:r w:rsidRPr="00515F03">
              <w:rPr>
                <w:rFonts w:hint="cs"/>
                <w:szCs w:val="18"/>
                <w:rtl/>
              </w:rPr>
              <w:t>(</w:t>
            </w:r>
            <w:r w:rsidRPr="00515F03">
              <w:rPr>
                <w:szCs w:val="18"/>
                <w:rtl/>
              </w:rPr>
              <w:t>סנהדרין עה</w:t>
            </w:r>
            <w:r w:rsidRPr="00515F03">
              <w:rPr>
                <w:rFonts w:hint="cs"/>
                <w:szCs w:val="18"/>
                <w:rtl/>
              </w:rPr>
              <w:t>,</w:t>
            </w:r>
            <w:r w:rsidRPr="00515F03">
              <w:rPr>
                <w:szCs w:val="18"/>
                <w:rtl/>
              </w:rPr>
              <w:t xml:space="preserve"> א</w:t>
            </w:r>
            <w:r w:rsidRPr="00515F03">
              <w:rPr>
                <w:rFonts w:hint="cs"/>
                <w:szCs w:val="18"/>
                <w:rtl/>
              </w:rPr>
              <w:t>)</w:t>
            </w:r>
            <w:r w:rsidRPr="00D45A16">
              <w:rPr>
                <w:rFonts w:hint="cs"/>
                <w:rtl/>
              </w:rPr>
              <w:t>: "</w:t>
            </w:r>
            <w:r w:rsidRPr="00D45A16">
              <w:rPr>
                <w:rtl/>
              </w:rPr>
              <w:t>מיום שחרב בית המקדש ניטלה טעם ביאה וניתנה לעוברי עבירה</w:t>
            </w:r>
            <w:r w:rsidRPr="00D45A16">
              <w:rPr>
                <w:rFonts w:hint="cs"/>
                <w:rtl/>
              </w:rPr>
              <w:t>".</w:t>
            </w:r>
          </w:p>
        </w:tc>
      </w:tr>
      <w:tr w:rsidR="000B5E17" w:rsidTr="00BB14A2">
        <w:tc>
          <w:tcPr>
            <w:tcW w:w="5328" w:type="dxa"/>
          </w:tcPr>
          <w:p w:rsidR="000B5E17" w:rsidRPr="002520E1" w:rsidRDefault="00BB14A2" w:rsidP="000B5E17">
            <w:pPr>
              <w:spacing w:after="120"/>
              <w:rPr>
                <w:rFonts w:asciiTheme="majorBidi" w:hAnsiTheme="majorBidi" w:cstheme="majorBidi"/>
              </w:rPr>
            </w:pPr>
            <w:r w:rsidRPr="002520E1">
              <w:rPr>
                <w:rFonts w:asciiTheme="majorBidi" w:hAnsiTheme="majorBidi" w:cstheme="majorBidi"/>
              </w:rPr>
              <w:t xml:space="preserve">Nevertheless, as explained in the Talmud and halakhic literature, the general directive stands. The way to fulfill the mitzva of </w:t>
            </w:r>
            <w:proofErr w:type="spellStart"/>
            <w:r w:rsidRPr="002520E1">
              <w:rPr>
                <w:rFonts w:asciiTheme="majorBidi" w:hAnsiTheme="majorBidi" w:cstheme="majorBidi"/>
                <w:i/>
                <w:iCs/>
              </w:rPr>
              <w:t>ona</w:t>
            </w:r>
            <w:proofErr w:type="spellEnd"/>
            <w:r w:rsidRPr="002520E1">
              <w:rPr>
                <w:rFonts w:asciiTheme="majorBidi" w:hAnsiTheme="majorBidi" w:cstheme="majorBidi"/>
                <w:i/>
                <w:iCs/>
              </w:rPr>
              <w:t xml:space="preserve"> </w:t>
            </w:r>
            <w:r w:rsidRPr="002520E1">
              <w:rPr>
                <w:rFonts w:asciiTheme="majorBidi" w:hAnsiTheme="majorBidi" w:cstheme="majorBidi"/>
              </w:rPr>
              <w:t xml:space="preserve">halakhically is with joy. The more husband and wife give each other pleasure, the more praiseworthy they are. At the same time, despite the wish to fulfill the mitzva in the ideal way, it is natural that the global pain caused by the exile of the Jews and the </w:t>
            </w:r>
            <w:r w:rsidRPr="002520E1">
              <w:rPr>
                <w:rFonts w:asciiTheme="majorBidi" w:hAnsiTheme="majorBidi" w:cstheme="majorBidi"/>
                <w:i/>
                <w:iCs/>
              </w:rPr>
              <w:t>Shekhina</w:t>
            </w:r>
            <w:r w:rsidRPr="002520E1">
              <w:rPr>
                <w:rFonts w:asciiTheme="majorBidi" w:hAnsiTheme="majorBidi" w:cstheme="majorBidi"/>
              </w:rPr>
              <w:t xml:space="preserve"> detracts from the joyfulness of the mitzva. The more we have the privilege of seeing the Jewish people return to their </w:t>
            </w:r>
            <w:r w:rsidRPr="002520E1">
              <w:rPr>
                <w:rFonts w:asciiTheme="majorBidi" w:hAnsiTheme="majorBidi" w:cstheme="majorBidi"/>
              </w:rPr>
              <w:t>l</w:t>
            </w:r>
            <w:r w:rsidRPr="002520E1">
              <w:rPr>
                <w:rFonts w:asciiTheme="majorBidi" w:hAnsiTheme="majorBidi" w:cstheme="majorBidi"/>
              </w:rPr>
              <w:t>and, the more the joy of this mitzva returns.</w:t>
            </w:r>
          </w:p>
        </w:tc>
        <w:tc>
          <w:tcPr>
            <w:tcW w:w="3528" w:type="dxa"/>
          </w:tcPr>
          <w:p w:rsidR="000B5E17" w:rsidRDefault="00BB14A2" w:rsidP="000B5E17">
            <w:pPr>
              <w:bidi/>
              <w:spacing w:after="120"/>
              <w:rPr>
                <w:rFonts w:hint="cs"/>
                <w:rtl/>
              </w:rPr>
            </w:pPr>
            <w:r>
              <w:rPr>
                <w:rFonts w:hint="cs"/>
                <w:rtl/>
              </w:rPr>
              <w:t xml:space="preserve">אולם כפי המבואר בתלמוד ובפוסקים, ההדרכה הכללית נותרה במקומה, לקיים את המצווה כהלכתה, בשמחה יתירה, וככל שבני הזוג מרבים לשמח זה את זה במצווה, הרי זה משובח. </w:t>
            </w:r>
            <w:r w:rsidRPr="00074C70">
              <w:rPr>
                <w:rFonts w:hint="cs"/>
                <w:rtl/>
              </w:rPr>
              <w:t xml:space="preserve">אלא </w:t>
            </w:r>
            <w:r>
              <w:rPr>
                <w:rFonts w:hint="cs"/>
                <w:rtl/>
              </w:rPr>
              <w:t xml:space="preserve">שבאופן טבעי, למרות </w:t>
            </w:r>
            <w:r w:rsidRPr="00962BFF">
              <w:rPr>
                <w:rFonts w:hint="cs"/>
                <w:rtl/>
              </w:rPr>
              <w:t>הרצון לקיים את המצווה בשלמותה, הצער העולמי על גלות ישראל והשכינה, מעיב על שמחת המצווה.</w:t>
            </w:r>
            <w:r>
              <w:rPr>
                <w:rFonts w:hint="cs"/>
                <w:rtl/>
              </w:rPr>
              <w:t xml:space="preserve"> ו</w:t>
            </w:r>
            <w:r w:rsidRPr="00074C70">
              <w:rPr>
                <w:rFonts w:hint="cs"/>
                <w:rtl/>
              </w:rPr>
              <w:t>ככל שאנחנו זוכים לראות יותר בחזרת ישראל לארצו, כך גם שמחת המצווה מתגלה יותר.</w:t>
            </w:r>
          </w:p>
        </w:tc>
      </w:tr>
      <w:tr w:rsidR="00BB14A2" w:rsidTr="00BB14A2">
        <w:tc>
          <w:tcPr>
            <w:tcW w:w="5328" w:type="dxa"/>
          </w:tcPr>
          <w:p w:rsidR="00BB14A2" w:rsidRPr="002520E1" w:rsidRDefault="00BB14A2" w:rsidP="00BB14A2">
            <w:pPr>
              <w:spacing w:after="120"/>
              <w:rPr>
                <w:rFonts w:asciiTheme="majorBidi" w:hAnsiTheme="majorBidi" w:cstheme="majorBidi"/>
              </w:rPr>
            </w:pPr>
            <w:r w:rsidRPr="002520E1">
              <w:rPr>
                <w:rFonts w:asciiTheme="majorBidi" w:hAnsiTheme="majorBidi" w:cstheme="majorBidi"/>
              </w:rPr>
              <w:t xml:space="preserve">“I will espouse you forever; I will espouse you with righteousness and in justice, and with goodness and mercy. And I will espouse you with faithfulness; then you </w:t>
            </w:r>
            <w:r w:rsidRPr="002520E1">
              <w:rPr>
                <w:rFonts w:asciiTheme="majorBidi" w:hAnsiTheme="majorBidi" w:cstheme="majorBidi"/>
              </w:rPr>
              <w:lastRenderedPageBreak/>
              <w:t xml:space="preserve">shall know the Lord. On that day I will respond, declares the Lord, I will respond to the sky, and it shall respond to the earth. And the earth shall respond with new grain and wine and oil, and they shall respond to </w:t>
            </w:r>
            <w:proofErr w:type="spellStart"/>
            <w:r w:rsidRPr="002520E1">
              <w:rPr>
                <w:rFonts w:asciiTheme="majorBidi" w:hAnsiTheme="majorBidi" w:cstheme="majorBidi"/>
              </w:rPr>
              <w:t>Yizre’el</w:t>
            </w:r>
            <w:proofErr w:type="spellEnd"/>
            <w:r w:rsidRPr="002520E1">
              <w:rPr>
                <w:rFonts w:asciiTheme="majorBidi" w:hAnsiTheme="majorBidi" w:cstheme="majorBidi"/>
              </w:rPr>
              <w:t>…</w:t>
            </w:r>
            <w:r w:rsidRPr="002520E1">
              <w:rPr>
                <w:rFonts w:asciiTheme="majorBidi" w:hAnsiTheme="majorBidi" w:cstheme="majorBidi"/>
              </w:rPr>
              <w:t>” (</w:t>
            </w:r>
            <w:proofErr w:type="spellStart"/>
            <w:r w:rsidRPr="002520E1">
              <w:rPr>
                <w:rFonts w:asciiTheme="majorBidi" w:hAnsiTheme="majorBidi" w:cstheme="majorBidi"/>
              </w:rPr>
              <w:t>Hoshea</w:t>
            </w:r>
            <w:proofErr w:type="spellEnd"/>
            <w:r w:rsidRPr="002520E1">
              <w:rPr>
                <w:rFonts w:asciiTheme="majorBidi" w:hAnsiTheme="majorBidi" w:cstheme="majorBidi"/>
              </w:rPr>
              <w:t xml:space="preserve"> 2:18-2</w:t>
            </w:r>
            <w:r w:rsidRPr="002520E1">
              <w:rPr>
                <w:rFonts w:asciiTheme="majorBidi" w:hAnsiTheme="majorBidi" w:cstheme="majorBidi"/>
              </w:rPr>
              <w:t>4</w:t>
            </w:r>
            <w:r w:rsidRPr="002520E1">
              <w:rPr>
                <w:rFonts w:asciiTheme="majorBidi" w:hAnsiTheme="majorBidi" w:cstheme="majorBidi"/>
              </w:rPr>
              <w:t>). God will rejoice over us as a groom rejoices over his bride (</w:t>
            </w:r>
            <w:proofErr w:type="spellStart"/>
            <w:r w:rsidRPr="002520E1">
              <w:rPr>
                <w:rFonts w:asciiTheme="majorBidi" w:hAnsiTheme="majorBidi" w:cstheme="majorBidi"/>
              </w:rPr>
              <w:t>Yeshayahu</w:t>
            </w:r>
            <w:proofErr w:type="spellEnd"/>
            <w:r w:rsidRPr="002520E1">
              <w:rPr>
                <w:rFonts w:asciiTheme="majorBidi" w:hAnsiTheme="majorBidi" w:cstheme="majorBidi"/>
              </w:rPr>
              <w:t xml:space="preserve"> 62:5), and the joy of </w:t>
            </w:r>
            <w:proofErr w:type="spellStart"/>
            <w:r w:rsidRPr="002520E1">
              <w:rPr>
                <w:rFonts w:asciiTheme="majorBidi" w:hAnsiTheme="majorBidi" w:cstheme="majorBidi"/>
                <w:i/>
                <w:iCs/>
              </w:rPr>
              <w:t>ona</w:t>
            </w:r>
            <w:proofErr w:type="spellEnd"/>
            <w:r w:rsidRPr="002520E1">
              <w:rPr>
                <w:rFonts w:asciiTheme="majorBidi" w:hAnsiTheme="majorBidi" w:cstheme="majorBidi"/>
              </w:rPr>
              <w:t xml:space="preserve"> will be restored in all its glory.</w:t>
            </w:r>
          </w:p>
        </w:tc>
        <w:tc>
          <w:tcPr>
            <w:tcW w:w="3528" w:type="dxa"/>
          </w:tcPr>
          <w:p w:rsidR="00BB14A2" w:rsidRDefault="00BB14A2" w:rsidP="00BB14A2">
            <w:pPr>
              <w:bidi/>
              <w:spacing w:after="120"/>
              <w:rPr>
                <w:rFonts w:hint="cs"/>
                <w:rtl/>
              </w:rPr>
            </w:pPr>
            <w:r>
              <w:rPr>
                <w:rFonts w:hint="cs"/>
                <w:rtl/>
              </w:rPr>
              <w:lastRenderedPageBreak/>
              <w:t>"ו</w:t>
            </w:r>
            <w:r>
              <w:rPr>
                <w:rtl/>
              </w:rPr>
              <w:t>ְאֵרַשְׂתִּיךְ לִי לְעוֹלָם וְאֵרַשְׂתִּיךְ לִי בְּצֶדֶק וּבְמִשְׁפָּט וּבְחֶסֶד וּבְרַחֲמִים</w:t>
            </w:r>
            <w:r>
              <w:rPr>
                <w:rFonts w:hint="cs"/>
                <w:rtl/>
              </w:rPr>
              <w:t xml:space="preserve">. </w:t>
            </w:r>
            <w:r>
              <w:rPr>
                <w:rtl/>
              </w:rPr>
              <w:t xml:space="preserve">וְאֵרַשְׂתִּיךְ לִי בֶּאֱמוּנָה וְיָדַעַתְּ אֶת </w:t>
            </w:r>
            <w:r>
              <w:rPr>
                <w:rFonts w:hint="cs"/>
                <w:rtl/>
              </w:rPr>
              <w:t>ה'.</w:t>
            </w:r>
            <w:r>
              <w:rPr>
                <w:rtl/>
              </w:rPr>
              <w:t xml:space="preserve"> וְהָיָה בַּיּוֹם הַהוּא </w:t>
            </w:r>
            <w:r>
              <w:rPr>
                <w:rtl/>
              </w:rPr>
              <w:lastRenderedPageBreak/>
              <w:t xml:space="preserve">אֶעֱנֶה נְאֻם </w:t>
            </w:r>
            <w:r>
              <w:rPr>
                <w:rFonts w:hint="cs"/>
                <w:rtl/>
              </w:rPr>
              <w:t>ה',</w:t>
            </w:r>
            <w:r>
              <w:rPr>
                <w:rtl/>
              </w:rPr>
              <w:t xml:space="preserve"> אֶעֱנֶה אֶת הַשָּׁמָיִם וְהֵם יַעֲנוּ אֶת הָאָרֶץ</w:t>
            </w:r>
            <w:r>
              <w:rPr>
                <w:rFonts w:hint="cs"/>
                <w:rtl/>
              </w:rPr>
              <w:t xml:space="preserve">. </w:t>
            </w:r>
            <w:r>
              <w:rPr>
                <w:rtl/>
              </w:rPr>
              <w:t>וְהָאָרֶץ תַּעֲנֶה אֶת הַדָּגָן וְאֶת הַתִּירוֹשׁ וְאֶת הַיִּצְהָר</w:t>
            </w:r>
            <w:r>
              <w:rPr>
                <w:rFonts w:hint="cs"/>
                <w:rtl/>
              </w:rPr>
              <w:t>,</w:t>
            </w:r>
            <w:r>
              <w:rPr>
                <w:rtl/>
              </w:rPr>
              <w:t xml:space="preserve"> וְהֵם יַעֲנוּ אֶת יִזְרְעֶאל</w:t>
            </w:r>
            <w:r>
              <w:rPr>
                <w:rFonts w:hint="cs"/>
                <w:rtl/>
              </w:rPr>
              <w:t>.</w:t>
            </w:r>
            <w:r>
              <w:rPr>
                <w:rFonts w:hint="cs"/>
                <w:rtl/>
              </w:rPr>
              <w:t xml:space="preserve">.. </w:t>
            </w:r>
            <w:r>
              <w:rPr>
                <w:rFonts w:hint="cs"/>
                <w:rtl/>
              </w:rPr>
              <w:t xml:space="preserve">" </w:t>
            </w:r>
            <w:r w:rsidRPr="00515F03">
              <w:rPr>
                <w:rFonts w:hint="cs"/>
                <w:szCs w:val="18"/>
                <w:rtl/>
              </w:rPr>
              <w:t>(הושע ב, יח-כה)</w:t>
            </w:r>
            <w:r>
              <w:rPr>
                <w:rFonts w:hint="cs"/>
                <w:rtl/>
              </w:rPr>
              <w:t xml:space="preserve">. וישיש ה' עלינו כמשוש חתן על כלה, </w:t>
            </w:r>
            <w:r w:rsidRPr="00074C70">
              <w:rPr>
                <w:rFonts w:hint="cs"/>
                <w:rtl/>
              </w:rPr>
              <w:t>ושמחת המצווה תחזור להופיע במילואה.</w:t>
            </w:r>
          </w:p>
        </w:tc>
      </w:tr>
    </w:tbl>
    <w:p w:rsidR="000B5E17" w:rsidRDefault="000B5E17" w:rsidP="000B5E17">
      <w:pPr>
        <w:spacing w:after="120"/>
        <w:rPr>
          <w:b/>
          <w:bCs/>
          <w:sz w:val="24"/>
          <w:szCs w:val="24"/>
          <w:lang w:bidi="yi-Hebr"/>
        </w:rPr>
      </w:pPr>
    </w:p>
    <w:p w:rsidR="002520E1" w:rsidRDefault="002520E1" w:rsidP="002520E1">
      <w:pPr>
        <w:spacing w:after="120"/>
        <w:rPr>
          <w:b/>
          <w:bCs/>
          <w:sz w:val="24"/>
          <w:szCs w:val="24"/>
          <w:lang w:bidi="yi-Hebr"/>
        </w:rPr>
      </w:pPr>
      <w:r>
        <w:rPr>
          <w:b/>
          <w:bCs/>
          <w:i/>
          <w:iCs/>
          <w:sz w:val="24"/>
          <w:szCs w:val="24"/>
          <w:lang w:bidi="yi-Hebr"/>
        </w:rPr>
        <w:t>Peninei Halakha</w:t>
      </w:r>
      <w:r>
        <w:rPr>
          <w:b/>
          <w:bCs/>
          <w:sz w:val="24"/>
          <w:szCs w:val="24"/>
          <w:lang w:bidi="yi-Hebr"/>
        </w:rPr>
        <w:t xml:space="preserve">, </w:t>
      </w:r>
      <w:r>
        <w:rPr>
          <w:b/>
          <w:bCs/>
          <w:i/>
          <w:iCs/>
          <w:sz w:val="24"/>
          <w:szCs w:val="24"/>
          <w:lang w:bidi="yi-Hebr"/>
        </w:rPr>
        <w:t xml:space="preserve">Laws of Shabbat </w:t>
      </w:r>
      <w:r>
        <w:rPr>
          <w:b/>
          <w:bCs/>
          <w:sz w:val="24"/>
          <w:szCs w:val="24"/>
          <w:lang w:bidi="yi-Hebr"/>
        </w:rPr>
        <w:t>5:1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3708"/>
      </w:tblGrid>
      <w:tr w:rsidR="002520E1" w:rsidTr="002520E1">
        <w:tc>
          <w:tcPr>
            <w:tcW w:w="5148" w:type="dxa"/>
          </w:tcPr>
          <w:p w:rsidR="002520E1" w:rsidRPr="002B4A70" w:rsidRDefault="002520E1" w:rsidP="002B4A70">
            <w:pPr>
              <w:spacing w:after="120"/>
              <w:rPr>
                <w:rFonts w:asciiTheme="majorBidi" w:hAnsiTheme="majorBidi" w:cstheme="majorBidi"/>
              </w:rPr>
            </w:pPr>
            <w:r w:rsidRPr="002520E1">
              <w:rPr>
                <w:rFonts w:asciiTheme="majorBidi" w:hAnsiTheme="majorBidi" w:cstheme="majorBidi"/>
              </w:rPr>
              <w:t xml:space="preserve">The Sages tell us that we must divide our time on Shabbat. Half of it should be spent studying Torah in the </w:t>
            </w:r>
            <w:r w:rsidRPr="002520E1">
              <w:rPr>
                <w:rFonts w:asciiTheme="majorBidi" w:hAnsiTheme="majorBidi" w:cstheme="majorBidi"/>
                <w:i/>
                <w:iCs/>
              </w:rPr>
              <w:t>beit midrash</w:t>
            </w:r>
            <w:r w:rsidRPr="002520E1">
              <w:rPr>
                <w:rFonts w:asciiTheme="majorBidi" w:hAnsiTheme="majorBidi" w:cstheme="majorBidi"/>
              </w:rPr>
              <w:t>, and half should be spent enjoying Shabbat through food, drink, and sleep (</w:t>
            </w:r>
            <w:proofErr w:type="spellStart"/>
            <w:r w:rsidRPr="002520E1">
              <w:rPr>
                <w:rFonts w:asciiTheme="majorBidi" w:hAnsiTheme="majorBidi" w:cstheme="majorBidi"/>
                <w:i/>
                <w:iCs/>
              </w:rPr>
              <w:t>Pesaĥim</w:t>
            </w:r>
            <w:proofErr w:type="spellEnd"/>
            <w:r w:rsidRPr="002520E1">
              <w:rPr>
                <w:rFonts w:asciiTheme="majorBidi" w:hAnsiTheme="majorBidi" w:cstheme="majorBidi"/>
              </w:rPr>
              <w:t xml:space="preserve"> 68b)</w:t>
            </w:r>
            <w:r>
              <w:rPr>
                <w:rFonts w:asciiTheme="majorBidi" w:hAnsiTheme="majorBidi" w:cstheme="majorBidi"/>
              </w:rPr>
              <w:t>.</w:t>
            </w:r>
            <w:r w:rsidRPr="002520E1">
              <w:rPr>
                <w:rFonts w:asciiTheme="majorBidi" w:hAnsiTheme="majorBidi" w:cstheme="majorBidi"/>
              </w:rPr>
              <w:t xml:space="preserve"> </w:t>
            </w:r>
          </w:p>
        </w:tc>
        <w:tc>
          <w:tcPr>
            <w:tcW w:w="3708" w:type="dxa"/>
          </w:tcPr>
          <w:p w:rsidR="002520E1" w:rsidRPr="002B4A70" w:rsidRDefault="002520E1" w:rsidP="002B4A70">
            <w:pPr>
              <w:bidi/>
            </w:pPr>
            <w:r>
              <w:rPr>
                <w:rFonts w:hint="cs"/>
                <w:rtl/>
              </w:rPr>
              <w:t xml:space="preserve">אמרו חכמים שצריך לחלק את זמן השבת, חציו לה' בלימוד תורה בבית המדרש וחציו לעונג שבת של אכילה, שתיה ושינה </w:t>
            </w:r>
            <w:r w:rsidRPr="00C6204F">
              <w:rPr>
                <w:rFonts w:hint="cs"/>
                <w:szCs w:val="18"/>
                <w:rtl/>
              </w:rPr>
              <w:t>(פסחים ס</w:t>
            </w:r>
            <w:r>
              <w:rPr>
                <w:rFonts w:hint="cs"/>
                <w:szCs w:val="18"/>
                <w:rtl/>
              </w:rPr>
              <w:t>ח</w:t>
            </w:r>
            <w:r w:rsidRPr="00C6204F">
              <w:rPr>
                <w:rFonts w:hint="cs"/>
                <w:szCs w:val="18"/>
                <w:rtl/>
              </w:rPr>
              <w:t>, ב)</w:t>
            </w:r>
            <w:r>
              <w:rPr>
                <w:rFonts w:hint="cs"/>
                <w:rtl/>
              </w:rPr>
              <w:t xml:space="preserve">. </w:t>
            </w:r>
          </w:p>
        </w:tc>
      </w:tr>
      <w:tr w:rsidR="002B4A70" w:rsidTr="002520E1">
        <w:tc>
          <w:tcPr>
            <w:tcW w:w="5148" w:type="dxa"/>
          </w:tcPr>
          <w:p w:rsidR="002B4A70" w:rsidRPr="002520E1" w:rsidRDefault="002B4A70" w:rsidP="002B4A70">
            <w:pPr>
              <w:spacing w:after="120"/>
              <w:rPr>
                <w:rFonts w:asciiTheme="majorBidi" w:hAnsiTheme="majorBidi" w:cstheme="majorBidi"/>
              </w:rPr>
            </w:pPr>
            <w:r w:rsidRPr="002520E1">
              <w:rPr>
                <w:rFonts w:asciiTheme="majorBidi" w:hAnsiTheme="majorBidi" w:cstheme="majorBidi"/>
              </w:rPr>
              <w:t xml:space="preserve">While an even split between spiritual and physical pleasures is the general rule, the specifics of one’s situation can alter the balance a </w:t>
            </w:r>
            <w:proofErr w:type="gramStart"/>
            <w:r w:rsidRPr="002520E1">
              <w:rPr>
                <w:rFonts w:asciiTheme="majorBidi" w:hAnsiTheme="majorBidi" w:cstheme="majorBidi"/>
              </w:rPr>
              <w:t>bit.</w:t>
            </w:r>
            <w:proofErr w:type="gramEnd"/>
            <w:r w:rsidRPr="002520E1">
              <w:rPr>
                <w:rFonts w:asciiTheme="majorBidi" w:hAnsiTheme="majorBidi" w:cstheme="majorBidi"/>
              </w:rPr>
              <w:t xml:space="preserve"> Torah scholars, who tend toward the ascetic during the week while they diligently study should add a bit more physical pleasure, whereas working men who are not able to study properly during the week should add a bit more Torah study (</w:t>
            </w:r>
            <w:r w:rsidRPr="002520E1">
              <w:rPr>
                <w:rFonts w:asciiTheme="majorBidi" w:hAnsiTheme="majorBidi" w:cstheme="majorBidi"/>
                <w:i/>
                <w:iCs/>
              </w:rPr>
              <w:t>y. Shabbat</w:t>
            </w:r>
            <w:r w:rsidRPr="002520E1">
              <w:rPr>
                <w:rFonts w:asciiTheme="majorBidi" w:hAnsiTheme="majorBidi" w:cstheme="majorBidi"/>
              </w:rPr>
              <w:t xml:space="preserve"> 15c; </w:t>
            </w:r>
            <w:proofErr w:type="spellStart"/>
            <w:r w:rsidRPr="002520E1">
              <w:rPr>
                <w:rFonts w:asciiTheme="majorBidi" w:hAnsiTheme="majorBidi" w:cstheme="majorBidi"/>
                <w:i/>
                <w:iCs/>
              </w:rPr>
              <w:t>Pesikta</w:t>
            </w:r>
            <w:proofErr w:type="spellEnd"/>
            <w:r w:rsidRPr="002520E1">
              <w:rPr>
                <w:rFonts w:asciiTheme="majorBidi" w:hAnsiTheme="majorBidi" w:cstheme="majorBidi"/>
                <w:i/>
                <w:iCs/>
              </w:rPr>
              <w:t xml:space="preserve"> </w:t>
            </w:r>
            <w:proofErr w:type="spellStart"/>
            <w:r w:rsidRPr="002520E1">
              <w:rPr>
                <w:rFonts w:asciiTheme="majorBidi" w:hAnsiTheme="majorBidi" w:cstheme="majorBidi"/>
                <w:i/>
                <w:iCs/>
              </w:rPr>
              <w:t>Rabbati</w:t>
            </w:r>
            <w:proofErr w:type="spellEnd"/>
            <w:r w:rsidRPr="002520E1">
              <w:rPr>
                <w:rFonts w:asciiTheme="majorBidi" w:hAnsiTheme="majorBidi" w:cstheme="majorBidi"/>
              </w:rPr>
              <w:t xml:space="preserve">, end of ch. 23; </w:t>
            </w:r>
            <w:r w:rsidRPr="002520E1">
              <w:rPr>
                <w:rFonts w:asciiTheme="majorBidi" w:hAnsiTheme="majorBidi" w:cstheme="majorBidi"/>
                <w:i/>
                <w:iCs/>
              </w:rPr>
              <w:t>Beit Yosef</w:t>
            </w:r>
            <w:r w:rsidRPr="002520E1">
              <w:rPr>
                <w:rFonts w:asciiTheme="majorBidi" w:hAnsiTheme="majorBidi" w:cstheme="majorBidi"/>
              </w:rPr>
              <w:t xml:space="preserve"> 288:1). Similarly,</w:t>
            </w:r>
            <w:r>
              <w:rPr>
                <w:rFonts w:asciiTheme="majorBidi" w:hAnsiTheme="majorBidi" w:cstheme="majorBidi"/>
              </w:rPr>
              <w:t xml:space="preserve"> Rema writes: “</w:t>
            </w:r>
            <w:r w:rsidRPr="002520E1">
              <w:rPr>
                <w:rFonts w:asciiTheme="majorBidi" w:hAnsiTheme="majorBidi" w:cstheme="majorBidi"/>
              </w:rPr>
              <w:t>Working men who do not study Torah all week should study more Torah on Shabbat than scholars, who study Torah all week. Torah scholars should indulge themselves a bit with the pleasure of eating and drinking, since they take pleasure in their learning all week. (290:2)</w:t>
            </w:r>
            <w:r>
              <w:rPr>
                <w:rFonts w:asciiTheme="majorBidi" w:hAnsiTheme="majorBidi" w:cstheme="majorBidi"/>
              </w:rPr>
              <w:t>”</w:t>
            </w:r>
          </w:p>
          <w:p w:rsidR="002B4A70" w:rsidRPr="002520E1" w:rsidRDefault="002B4A70" w:rsidP="002B4A70">
            <w:pPr>
              <w:spacing w:after="120"/>
              <w:rPr>
                <w:rFonts w:asciiTheme="majorBidi" w:hAnsiTheme="majorBidi" w:cstheme="majorBidi"/>
              </w:rPr>
            </w:pPr>
            <w:r w:rsidRPr="002520E1">
              <w:rPr>
                <w:rFonts w:asciiTheme="majorBidi" w:hAnsiTheme="majorBidi" w:cstheme="majorBidi"/>
              </w:rPr>
              <w:t>The logic behind this is that Shabbat is meant to help people reach absolute perfection both spiritually and physically. People</w:t>
            </w:r>
            <w:r w:rsidRPr="002520E1">
              <w:rPr>
                <w:rFonts w:asciiTheme="majorBidi" w:hAnsiTheme="majorBidi" w:cstheme="majorBidi"/>
                <w:color w:val="FF00FF"/>
              </w:rPr>
              <w:t xml:space="preserve"> </w:t>
            </w:r>
            <w:r w:rsidRPr="002520E1">
              <w:rPr>
                <w:rFonts w:asciiTheme="majorBidi" w:hAnsiTheme="majorBidi" w:cstheme="majorBidi"/>
              </w:rPr>
              <w:t>who work all week need to perfect themselves through more Torah study, while Torah scholars who weaken their bodies all week while they diligently study Torah need to perfect themselves in the physical realm. In any case, both groups must seriously endeavor to enjoy Shabbat spiritually and physically,</w:t>
            </w:r>
            <w:r w:rsidRPr="002520E1">
              <w:rPr>
                <w:rFonts w:asciiTheme="majorBidi" w:hAnsiTheme="majorBidi" w:cstheme="majorBidi"/>
                <w:color w:val="FF00FF"/>
              </w:rPr>
              <w:t xml:space="preserve"> </w:t>
            </w:r>
            <w:r w:rsidRPr="002520E1">
              <w:rPr>
                <w:rFonts w:asciiTheme="majorBidi" w:hAnsiTheme="majorBidi" w:cstheme="majorBidi"/>
              </w:rPr>
              <w:t xml:space="preserve">as the combination of the two makes each more productive. Thus man reaches perfection, and merits a deep and true </w:t>
            </w:r>
            <w:proofErr w:type="spellStart"/>
            <w:r w:rsidRPr="002520E1">
              <w:rPr>
                <w:rFonts w:asciiTheme="majorBidi" w:hAnsiTheme="majorBidi" w:cstheme="majorBidi"/>
                <w:i/>
                <w:iCs/>
              </w:rPr>
              <w:t>oneg</w:t>
            </w:r>
            <w:proofErr w:type="spellEnd"/>
            <w:r w:rsidRPr="002520E1">
              <w:rPr>
                <w:rFonts w:asciiTheme="majorBidi" w:hAnsiTheme="majorBidi" w:cstheme="majorBidi"/>
                <w:i/>
                <w:iCs/>
              </w:rPr>
              <w:t xml:space="preserve"> Shabbat</w:t>
            </w:r>
            <w:r w:rsidRPr="002520E1">
              <w:rPr>
                <w:rFonts w:asciiTheme="majorBidi" w:hAnsiTheme="majorBidi" w:cstheme="majorBidi"/>
              </w:rPr>
              <w:t>.</w:t>
            </w:r>
          </w:p>
        </w:tc>
        <w:tc>
          <w:tcPr>
            <w:tcW w:w="3708" w:type="dxa"/>
          </w:tcPr>
          <w:p w:rsidR="002B4A70" w:rsidRDefault="002B4A70" w:rsidP="002B4A70">
            <w:pPr>
              <w:bidi/>
              <w:rPr>
                <w:rFonts w:hint="cs"/>
                <w:szCs w:val="18"/>
                <w:rtl/>
              </w:rPr>
            </w:pPr>
            <w:r>
              <w:rPr>
                <w:rFonts w:hint="cs"/>
                <w:rtl/>
              </w:rPr>
              <w:t xml:space="preserve">על גבי החלוקה הכללית, מחצה לעונג רוחני ומחצה לעונג גשמי, ישנה הדרכה נוספת, שתלמידי חכמים שרגילים לסגף עצמם במשך ימות השבוע בשקידת התורה, יוסיפו מעט בעונג גשמי, ואילו אנשי מעשה שאינם מספיקים ללמוד תורה כראוי בימות החול, ירבו יותר בלימוד התורה </w:t>
            </w:r>
            <w:r w:rsidRPr="00C6204F">
              <w:rPr>
                <w:rFonts w:hint="cs"/>
                <w:szCs w:val="18"/>
                <w:rtl/>
              </w:rPr>
              <w:t>(ירושלמי שבת טו, ג, פס"ר סו"פ כג, ב"י רפח, א)</w:t>
            </w:r>
            <w:r>
              <w:rPr>
                <w:rFonts w:hint="cs"/>
                <w:rtl/>
              </w:rPr>
              <w:t xml:space="preserve">. וכן כתב הרמ"א </w:t>
            </w:r>
            <w:r w:rsidRPr="00C6204F">
              <w:rPr>
                <w:rFonts w:hint="cs"/>
                <w:szCs w:val="18"/>
                <w:rtl/>
              </w:rPr>
              <w:t>(רצ, ב)</w:t>
            </w:r>
            <w:r>
              <w:rPr>
                <w:rFonts w:hint="cs"/>
                <w:rtl/>
              </w:rPr>
              <w:t>: "בעלי בתים שאינם עוסקים בתורה כל ימי השבוע, יעסקו יותר בתורה בשבת מתלמידי חכמים העוסקים בתורה כל ימי השבוע. ותלמידי החכמים ימשיכו יותר בעונג אכילה ושתיה קצת, דהרי הם מתענגים בלימודם כל ימי השבוע"</w:t>
            </w:r>
            <w:r w:rsidRPr="00D33931">
              <w:rPr>
                <w:rFonts w:hint="cs"/>
                <w:rtl/>
              </w:rPr>
              <w:t>.</w:t>
            </w:r>
            <w:r>
              <w:rPr>
                <w:rFonts w:hint="cs"/>
                <w:szCs w:val="18"/>
                <w:rtl/>
              </w:rPr>
              <w:t xml:space="preserve"> </w:t>
            </w:r>
          </w:p>
          <w:p w:rsidR="002B4A70" w:rsidRDefault="002B4A70" w:rsidP="002B4A70">
            <w:pPr>
              <w:bidi/>
              <w:rPr>
                <w:rFonts w:hint="cs"/>
                <w:rtl/>
              </w:rPr>
            </w:pPr>
            <w:r w:rsidRPr="00DE5590">
              <w:rPr>
                <w:rFonts w:hint="cs"/>
                <w:rtl/>
              </w:rPr>
              <w:t xml:space="preserve">הטעם לכך, </w:t>
            </w:r>
            <w:r>
              <w:rPr>
                <w:rFonts w:hint="cs"/>
                <w:rtl/>
              </w:rPr>
              <w:t>שהשבת נועדה להשלים את האדם שלימות גמורה, ברוחניות וגשמיות. ואנשי מעשה שעסוקים כל השבוע בעבודתם, זקוקים יותר להשלמה בלימוד התורה, ותלמידי חכמים שמתישים את גופם בשקידת התורה, זקוקים יותר להשלמה בעונג גשמי. מכל מקום אלו ואלו צריכים לתת מקום נכבד לעונג שבת רוחני ולעונג שבת גשמי, שעל ידי חיבורם יחד הם מפרים זה את זה, והאדם מגיע לשלמותו, וזוכה לעונג שבת עמוק ואמיתי.</w:t>
            </w:r>
          </w:p>
        </w:tc>
      </w:tr>
    </w:tbl>
    <w:p w:rsidR="00BB14A2" w:rsidRDefault="00BB14A2" w:rsidP="000B5E17">
      <w:pPr>
        <w:spacing w:after="120"/>
        <w:rPr>
          <w:b/>
          <w:bCs/>
          <w:sz w:val="24"/>
          <w:szCs w:val="24"/>
          <w:lang w:bidi="yi-Hebr"/>
        </w:rPr>
      </w:pPr>
    </w:p>
    <w:p w:rsidR="00AA2EED" w:rsidRDefault="00AA2EED">
      <w:pPr>
        <w:rPr>
          <w:b/>
          <w:bCs/>
          <w:sz w:val="24"/>
          <w:szCs w:val="24"/>
          <w:lang w:bidi="yi-Hebr"/>
        </w:rPr>
      </w:pPr>
      <w:r>
        <w:rPr>
          <w:b/>
          <w:bCs/>
          <w:sz w:val="24"/>
          <w:szCs w:val="24"/>
          <w:lang w:bidi="yi-Hebr"/>
        </w:rPr>
        <w:br w:type="page"/>
      </w:r>
    </w:p>
    <w:p w:rsidR="00C91252" w:rsidRDefault="00C91252" w:rsidP="000B5E17">
      <w:pPr>
        <w:spacing w:after="120"/>
        <w:rPr>
          <w:b/>
          <w:bCs/>
          <w:sz w:val="24"/>
          <w:szCs w:val="24"/>
          <w:lang w:bidi="yi-Hebr"/>
        </w:rPr>
      </w:pPr>
      <w:r>
        <w:rPr>
          <w:b/>
          <w:bCs/>
          <w:sz w:val="24"/>
          <w:szCs w:val="24"/>
          <w:lang w:bidi="yi-Hebr"/>
        </w:rPr>
        <w:lastRenderedPageBreak/>
        <w:t>R. Asher Weiss</w:t>
      </w:r>
    </w:p>
    <w:p w:rsidR="00AA2EED" w:rsidRDefault="00AA2EED" w:rsidP="000B5E17">
      <w:pPr>
        <w:spacing w:after="120"/>
        <w:rPr>
          <w:b/>
          <w:bCs/>
          <w:sz w:val="24"/>
          <w:szCs w:val="24"/>
          <w:lang w:bidi="yi-Hebr"/>
        </w:rPr>
      </w:pPr>
      <w:r>
        <w:rPr>
          <w:b/>
          <w:bCs/>
          <w:noProof/>
          <w:sz w:val="24"/>
          <w:szCs w:val="24"/>
        </w:rPr>
        <w:drawing>
          <wp:inline distT="0" distB="0" distL="0" distR="0">
            <wp:extent cx="5200650" cy="42260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2732" cy="4227760"/>
                    </a:xfrm>
                    <a:prstGeom prst="rect">
                      <a:avLst/>
                    </a:prstGeom>
                    <a:noFill/>
                    <a:ln>
                      <a:noFill/>
                    </a:ln>
                  </pic:spPr>
                </pic:pic>
              </a:graphicData>
            </a:graphic>
          </wp:inline>
        </w:drawing>
      </w:r>
    </w:p>
    <w:p w:rsidR="003A114E" w:rsidRDefault="003A114E" w:rsidP="003A114E">
      <w:pPr>
        <w:spacing w:before="150" w:after="150" w:line="600" w:lineRule="atLeast"/>
        <w:ind w:right="150"/>
        <w:jc w:val="center"/>
        <w:outlineLvl w:val="0"/>
        <w:rPr>
          <w:rFonts w:ascii="Tahoma" w:eastAsia="Times New Roman" w:hAnsi="Tahoma" w:cs="Tahoma"/>
          <w:b/>
          <w:bCs/>
          <w:color w:val="564E39"/>
          <w:kern w:val="36"/>
          <w:sz w:val="24"/>
          <w:szCs w:val="24"/>
        </w:rPr>
      </w:pPr>
      <w:r>
        <w:rPr>
          <w:b/>
          <w:bCs/>
          <w:noProof/>
          <w:sz w:val="24"/>
          <w:szCs w:val="24"/>
        </w:rPr>
        <w:drawing>
          <wp:inline distT="0" distB="0" distL="0" distR="0" wp14:anchorId="1B582AAA" wp14:editId="206969FE">
            <wp:extent cx="3324225" cy="36187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361878"/>
                    </a:xfrm>
                    <a:prstGeom prst="rect">
                      <a:avLst/>
                    </a:prstGeom>
                    <a:noFill/>
                    <a:ln>
                      <a:noFill/>
                    </a:ln>
                  </pic:spPr>
                </pic:pic>
              </a:graphicData>
            </a:graphic>
          </wp:inline>
        </w:drawing>
      </w:r>
    </w:p>
    <w:p w:rsidR="003A114E" w:rsidRDefault="003A114E" w:rsidP="003A114E">
      <w:pPr>
        <w:spacing w:before="150" w:after="150" w:line="600" w:lineRule="atLeast"/>
        <w:ind w:right="150"/>
        <w:jc w:val="center"/>
        <w:outlineLvl w:val="0"/>
        <w:rPr>
          <w:rFonts w:ascii="Tahoma" w:eastAsia="Times New Roman" w:hAnsi="Tahoma" w:cs="Tahoma"/>
          <w:b/>
          <w:bCs/>
          <w:color w:val="564E39"/>
          <w:kern w:val="36"/>
          <w:sz w:val="24"/>
          <w:szCs w:val="24"/>
        </w:rPr>
      </w:pPr>
      <w:r>
        <w:rPr>
          <w:b/>
          <w:bCs/>
          <w:noProof/>
          <w:sz w:val="24"/>
          <w:szCs w:val="24"/>
        </w:rPr>
        <w:drawing>
          <wp:inline distT="0" distB="0" distL="0" distR="0" wp14:anchorId="57AE5EDA" wp14:editId="5779B42D">
            <wp:extent cx="5000625" cy="30495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4424" cy="3051888"/>
                    </a:xfrm>
                    <a:prstGeom prst="rect">
                      <a:avLst/>
                    </a:prstGeom>
                    <a:noFill/>
                    <a:ln>
                      <a:noFill/>
                    </a:ln>
                  </pic:spPr>
                </pic:pic>
              </a:graphicData>
            </a:graphic>
          </wp:inline>
        </w:drawing>
      </w:r>
    </w:p>
    <w:sectPr w:rsidR="003A11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B8"/>
    <w:rsid w:val="000B5E17"/>
    <w:rsid w:val="00104323"/>
    <w:rsid w:val="00192109"/>
    <w:rsid w:val="002520E1"/>
    <w:rsid w:val="002B4A70"/>
    <w:rsid w:val="00307974"/>
    <w:rsid w:val="003A114E"/>
    <w:rsid w:val="003C04DF"/>
    <w:rsid w:val="00455148"/>
    <w:rsid w:val="00664C5D"/>
    <w:rsid w:val="0096159B"/>
    <w:rsid w:val="00AA2EED"/>
    <w:rsid w:val="00BB14A2"/>
    <w:rsid w:val="00BE1648"/>
    <w:rsid w:val="00C91252"/>
    <w:rsid w:val="00CB3828"/>
    <w:rsid w:val="00F121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C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1B8"/>
    <w:rPr>
      <w:rFonts w:ascii="Tahoma" w:hAnsi="Tahoma" w:cs="Tahoma"/>
      <w:sz w:val="16"/>
      <w:szCs w:val="16"/>
    </w:rPr>
  </w:style>
  <w:style w:type="table" w:styleId="TableGrid">
    <w:name w:val="Table Grid"/>
    <w:basedOn w:val="TableNormal"/>
    <w:uiPriority w:val="59"/>
    <w:rsid w:val="000B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B14A2"/>
    <w:rPr>
      <w:sz w:val="16"/>
      <w:szCs w:val="16"/>
    </w:rPr>
  </w:style>
  <w:style w:type="paragraph" w:styleId="CommentText">
    <w:name w:val="annotation text"/>
    <w:basedOn w:val="Normal"/>
    <w:link w:val="CommentTextChar"/>
    <w:uiPriority w:val="99"/>
    <w:semiHidden/>
    <w:unhideWhenUsed/>
    <w:rsid w:val="00BB14A2"/>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BB14A2"/>
    <w:rPr>
      <w:rFonts w:ascii="Calibri" w:eastAsia="Calibri" w:hAnsi="Calibri" w:cs="Arial"/>
      <w:sz w:val="20"/>
      <w:szCs w:val="20"/>
    </w:rPr>
  </w:style>
  <w:style w:type="paragraph" w:styleId="NormalWeb">
    <w:name w:val="Normal (Web)"/>
    <w:basedOn w:val="Normal"/>
    <w:uiPriority w:val="99"/>
    <w:semiHidden/>
    <w:unhideWhenUsed/>
    <w:rsid w:val="00307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4C5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C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1B8"/>
    <w:rPr>
      <w:rFonts w:ascii="Tahoma" w:hAnsi="Tahoma" w:cs="Tahoma"/>
      <w:sz w:val="16"/>
      <w:szCs w:val="16"/>
    </w:rPr>
  </w:style>
  <w:style w:type="table" w:styleId="TableGrid">
    <w:name w:val="Table Grid"/>
    <w:basedOn w:val="TableNormal"/>
    <w:uiPriority w:val="59"/>
    <w:rsid w:val="000B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B14A2"/>
    <w:rPr>
      <w:sz w:val="16"/>
      <w:szCs w:val="16"/>
    </w:rPr>
  </w:style>
  <w:style w:type="paragraph" w:styleId="CommentText">
    <w:name w:val="annotation text"/>
    <w:basedOn w:val="Normal"/>
    <w:link w:val="CommentTextChar"/>
    <w:uiPriority w:val="99"/>
    <w:semiHidden/>
    <w:unhideWhenUsed/>
    <w:rsid w:val="00BB14A2"/>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BB14A2"/>
    <w:rPr>
      <w:rFonts w:ascii="Calibri" w:eastAsia="Calibri" w:hAnsi="Calibri" w:cs="Arial"/>
      <w:sz w:val="20"/>
      <w:szCs w:val="20"/>
    </w:rPr>
  </w:style>
  <w:style w:type="paragraph" w:styleId="NormalWeb">
    <w:name w:val="Normal (Web)"/>
    <w:basedOn w:val="Normal"/>
    <w:uiPriority w:val="99"/>
    <w:semiHidden/>
    <w:unhideWhenUsed/>
    <w:rsid w:val="00307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4C5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3931">
      <w:bodyDiv w:val="1"/>
      <w:marLeft w:val="0"/>
      <w:marRight w:val="0"/>
      <w:marTop w:val="0"/>
      <w:marBottom w:val="0"/>
      <w:divBdr>
        <w:top w:val="none" w:sz="0" w:space="0" w:color="auto"/>
        <w:left w:val="none" w:sz="0" w:space="0" w:color="auto"/>
        <w:bottom w:val="none" w:sz="0" w:space="0" w:color="auto"/>
        <w:right w:val="none" w:sz="0" w:space="0" w:color="auto"/>
      </w:divBdr>
    </w:div>
    <w:div w:id="749423411">
      <w:bodyDiv w:val="1"/>
      <w:marLeft w:val="0"/>
      <w:marRight w:val="0"/>
      <w:marTop w:val="0"/>
      <w:marBottom w:val="0"/>
      <w:divBdr>
        <w:top w:val="none" w:sz="0" w:space="0" w:color="auto"/>
        <w:left w:val="none" w:sz="0" w:space="0" w:color="auto"/>
        <w:bottom w:val="none" w:sz="0" w:space="0" w:color="auto"/>
        <w:right w:val="none" w:sz="0" w:space="0" w:color="auto"/>
      </w:divBdr>
    </w:div>
    <w:div w:id="1240554540">
      <w:bodyDiv w:val="1"/>
      <w:marLeft w:val="0"/>
      <w:marRight w:val="0"/>
      <w:marTop w:val="0"/>
      <w:marBottom w:val="0"/>
      <w:divBdr>
        <w:top w:val="none" w:sz="0" w:space="0" w:color="auto"/>
        <w:left w:val="none" w:sz="0" w:space="0" w:color="auto"/>
        <w:bottom w:val="none" w:sz="0" w:space="0" w:color="auto"/>
        <w:right w:val="none" w:sz="0" w:space="0" w:color="auto"/>
      </w:divBdr>
    </w:div>
    <w:div w:id="1313022316">
      <w:bodyDiv w:val="1"/>
      <w:marLeft w:val="0"/>
      <w:marRight w:val="0"/>
      <w:marTop w:val="0"/>
      <w:marBottom w:val="0"/>
      <w:divBdr>
        <w:top w:val="none" w:sz="0" w:space="0" w:color="auto"/>
        <w:left w:val="none" w:sz="0" w:space="0" w:color="auto"/>
        <w:bottom w:val="none" w:sz="0" w:space="0" w:color="auto"/>
        <w:right w:val="none" w:sz="0" w:space="0" w:color="auto"/>
      </w:divBdr>
    </w:div>
    <w:div w:id="1696884136">
      <w:bodyDiv w:val="1"/>
      <w:marLeft w:val="0"/>
      <w:marRight w:val="0"/>
      <w:marTop w:val="0"/>
      <w:marBottom w:val="0"/>
      <w:divBdr>
        <w:top w:val="none" w:sz="0" w:space="0" w:color="auto"/>
        <w:left w:val="none" w:sz="0" w:space="0" w:color="auto"/>
        <w:bottom w:val="none" w:sz="0" w:space="0" w:color="auto"/>
        <w:right w:val="none" w:sz="0" w:space="0" w:color="auto"/>
      </w:divBdr>
    </w:div>
    <w:div w:id="1801996302">
      <w:bodyDiv w:val="1"/>
      <w:marLeft w:val="0"/>
      <w:marRight w:val="0"/>
      <w:marTop w:val="0"/>
      <w:marBottom w:val="0"/>
      <w:divBdr>
        <w:top w:val="none" w:sz="0" w:space="0" w:color="auto"/>
        <w:left w:val="none" w:sz="0" w:space="0" w:color="auto"/>
        <w:bottom w:val="none" w:sz="0" w:space="0" w:color="auto"/>
        <w:right w:val="none" w:sz="0" w:space="0" w:color="auto"/>
      </w:divBdr>
    </w:div>
    <w:div w:id="18208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 F</dc:creator>
  <cp:lastModifiedBy>Elli F</cp:lastModifiedBy>
  <cp:revision>2</cp:revision>
  <dcterms:created xsi:type="dcterms:W3CDTF">2018-02-04T02:43:00Z</dcterms:created>
  <dcterms:modified xsi:type="dcterms:W3CDTF">2018-02-04T02:43:00Z</dcterms:modified>
</cp:coreProperties>
</file>