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40" w:lineRule="auto"/>
        <w:jc w:val="both"/>
        <w:rPr>
          <w:sz w:val="48"/>
          <w:szCs w:val="48"/>
        </w:rPr>
      </w:pPr>
      <w:bookmarkStart w:colFirst="0" w:colLast="0" w:name="_md3gfsa856ya" w:id="0"/>
      <w:bookmarkEnd w:id="0"/>
      <w:r w:rsidDel="00000000" w:rsidR="00000000" w:rsidRPr="00000000">
        <w:rPr>
          <w:sz w:val="48"/>
          <w:szCs w:val="48"/>
          <w:rtl w:val="0"/>
        </w:rPr>
        <w:t xml:space="preserve">The Difference Between Kalev and Yehoshua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8"/>
        <w:gridCol w:w="4968"/>
        <w:tblGridChange w:id="0">
          <w:tblGrid>
            <w:gridCol w:w="4968"/>
            <w:gridCol w:w="49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במדבר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כד</w:t>
            </w:r>
          </w:p>
          <w:p w:rsidR="00000000" w:rsidDel="00000000" w:rsidP="00000000" w:rsidRDefault="00000000" w:rsidRPr="00000000" w14:paraId="00000004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֤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ֶ֙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ּ֔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ֵּ֖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ָ֑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ָׁ֔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David Libre" w:cs="David Libre" w:eastAsia="David Libre" w:hAnsi="David Libre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rtl w:val="0"/>
              </w:rPr>
              <w:t xml:space="preserve">But My servant Caleb, because he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0"/>
              </w:rPr>
              <w:t xml:space="preserve">was imbued with a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0"/>
              </w:rPr>
              <w:t xml:space="preserve">different spirit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0"/>
              </w:rPr>
              <w:t xml:space="preserve"> and remained loyal to Me</w:t>
            </w:r>
            <w:r w:rsidDel="00000000" w:rsidR="00000000" w:rsidRPr="00000000">
              <w:rPr>
                <w:rFonts w:ascii="David Libre" w:cs="David Libre" w:eastAsia="David Libre" w:hAnsi="David Libre"/>
                <w:rtl w:val="0"/>
              </w:rPr>
              <w:t xml:space="preserve">—him will I bring into the land that he entered, and his offspring shall hold it as a possession.</w:t>
            </w:r>
          </w:p>
        </w:tc>
      </w:tr>
    </w:tbl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5205"/>
        <w:tblGridChange w:id="0">
          <w:tblGrid>
            <w:gridCol w:w="4725"/>
            <w:gridCol w:w="52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דברים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-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לט</w:t>
            </w:r>
          </w:p>
          <w:p w:rsidR="00000000" w:rsidDel="00000000" w:rsidP="00000000" w:rsidRDefault="00000000" w:rsidRPr="00000000" w14:paraId="00000009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ָּׁ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ׁ֙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ִׁ֣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ֶּ֑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ֶׁ֣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ֻ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ֵּ֧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ֶׁ֥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ֶׁ֥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ֵּ֖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ֶ֖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ָּ֖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ֹ֥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ָֽׁ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ֻׁ֤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ָׁ֑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ֵּ֔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ָּ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ְׂ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ֵֽ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rtl w:val="0"/>
              </w:rPr>
              <w:t xml:space="preserve">When the Lord heard your loud complaint, He was angry. He vowed: Not one of these men, this evil generation, shall see the good land that I swore to give to your fathers— none except Caleb son of Jephunneh; he shall see it, and to him and his descendants will I give the land on which he set foot, because he remained loyal to the Lord. Because of you the Lord was incensed with me too, and He said: You shall not enter it either. Joshua son of Nun, who attends you, he shall enter it. Imbue him with strength, for he shall allot it to Israel.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commentRangeStart w:id="0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פלטיאל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ועבדי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ליהושוע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וזרעו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יורישנה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יהושוע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1"/>
        </w:numPr>
        <w:spacing w:line="240" w:lineRule="auto"/>
        <w:ind w:left="720" w:hanging="360"/>
        <w:jc w:val="center"/>
        <w:rPr/>
      </w:pPr>
      <w:bookmarkStart w:colFirst="0" w:colLast="0" w:name="_qmlidnj03xoc" w:id="1"/>
      <w:bookmarkEnd w:id="1"/>
      <w:r w:rsidDel="00000000" w:rsidR="00000000" w:rsidRPr="00000000">
        <w:rPr>
          <w:rtl w:val="0"/>
        </w:rPr>
        <w:t xml:space="preserve">The Saint and the Repentant</w:t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commentRangeStart w:id="1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תרומת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הכרי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חושן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משפט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פתח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השער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הקרא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ועבדי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הבנה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נשתנה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לעצתם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סוטה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ידועים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לדרכינו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שהתפלל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יושיעך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ליהושע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נטיי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לצד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החומר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היצה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פתחון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בהצדקו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פתחון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ולהיותו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מתירא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יפותה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אחריהם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נשתטח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קברי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הצדיקים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בחברון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בנפשו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ולפום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צערא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אגרא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8"/>
        <w:gridCol w:w="4968"/>
        <w:tblGridChange w:id="0">
          <w:tblGrid>
            <w:gridCol w:w="4968"/>
            <w:gridCol w:w="49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אור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החיים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וטעם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שאני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קורא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אותו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עבדי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עקב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פירוש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שכר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אשר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רוח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אחרת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עמו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שהגם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שיהושע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ניאץ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המרגלים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סיבה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תפלת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משה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הצילתו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מיצר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הרע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שאין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כלב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שנכנס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בגדר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סכנת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יצר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הרע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וחברתו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הרשעה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ותחל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רוח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רעה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לפעמו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והוא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אומרו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רוח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אחרת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עמו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ואף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וימלא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אחרי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פירוש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השלים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רצונו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יתברך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מלבי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שהיה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הבדל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שעל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יהושע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התפלל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משה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יה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יושיעך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מעצת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מרגלים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כלב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פנה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מעצת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מרגלים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תפלת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משה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ואמרו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חז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שתחלה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הטו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אותו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המרגלים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לעצתם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ויבא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חברון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להתפלל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קברי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אבות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ונצול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u w:val="single"/>
                <w:rtl w:val="1"/>
              </w:rPr>
              <w:t xml:space="preserve">מעצתם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וז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עקב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רוח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אחרת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עמו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שתחלה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היתה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עמו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רוח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אחרת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נוטה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לעצת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מרגלים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וכבש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יצרו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וימלא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u w:val="single"/>
                <w:rtl w:val="1"/>
              </w:rPr>
              <w:t xml:space="preserve">אחרי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ולכן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והביאותיו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וזרעו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יורישנה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וניתן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חברון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בירושה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העמק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ועבדי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פרסום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השגחתו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מיוחד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מהלך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חברון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פחד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לראות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הענק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שהכניס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השגחתו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שפירשנו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</w:p>
    <w:p w:rsidR="00000000" w:rsidDel="00000000" w:rsidP="00000000" w:rsidRDefault="00000000" w:rsidRPr="00000000" w14:paraId="00000014">
      <w:pPr>
        <w:pStyle w:val="Heading3"/>
        <w:numPr>
          <w:ilvl w:val="0"/>
          <w:numId w:val="1"/>
        </w:numPr>
        <w:spacing w:line="240" w:lineRule="auto"/>
        <w:ind w:left="720" w:hanging="360"/>
        <w:jc w:val="center"/>
        <w:rPr/>
      </w:pPr>
      <w:bookmarkStart w:colFirst="0" w:colLast="0" w:name="_r1yngwgohv8k" w:id="2"/>
      <w:bookmarkEnd w:id="2"/>
      <w:r w:rsidDel="00000000" w:rsidR="00000000" w:rsidRPr="00000000">
        <w:rPr>
          <w:rtl w:val="0"/>
        </w:rPr>
        <w:t xml:space="preserve">Two Kinds of Influencers</w:t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רוחות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בפה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ואחת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בלב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ובלבו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להשתיקם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סבורים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חפץ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שמירת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הערות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יט</w:t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בעבודת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שמתגברים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התועים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בעולם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מעובדי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הוכרח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לעמוד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שבועות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יוציא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כוחותיו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הפנימיים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שיפרסם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שיטתו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האמיתית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ויריב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הכוזבת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שישתוק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לעיניהם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שיבוא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ברבים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קהל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יברר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שיטתו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האמיתית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ולהיפך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הכוזבת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וחסרון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ישתוק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יסכים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לאט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לאט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הולך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כחו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הפנימי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ונחלש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שהותרה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הכוזבת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ודוגמא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שעומד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בחורף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בחוץ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בקור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דחזק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מתקרר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חומו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הפנימי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מתחזק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נגדם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יתקררו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כוחותיו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הפנימיים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חסרון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דיוכלו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להתייעץ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יחדיו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נגדו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ולהזיקו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בגופו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בממונו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לרחמי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שיצילוהו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מידם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ובאופן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ייתיעצו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להזיקו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שחושבים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אוחז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בשיטתם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יתירה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שבבואו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קהל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ועדה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יתפארו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התועים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ויאמרו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שפלוני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הנכבד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אוחז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בשיטתם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יוכל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לברר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שיטתו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האמיתית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לעיני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דכל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</w:t>
        <w:tab/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הקודש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כחותיהם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כחו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לרחמי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שמים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ייעצו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רעה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ברכו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יושיעך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מעצת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כחו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לברכה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כשבאו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לחברון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וראו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אחימן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ותלמי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ונפל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פחדם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תיכף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והתבונן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להתנהג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והוסכם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אצלו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להסכים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בפה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לבסוף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להשתיקם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ולברר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השיטה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האמיתית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ירא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שעי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יוכלו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כוחותיו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הפנימיים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להתחלף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במשך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ולהיות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ניסת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לעצתם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לכך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הלך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ונשתטח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קברי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אבות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שיעזרוהו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בזכותם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יתקלקל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במשך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u w:val="single"/>
          <w:rtl w:val="1"/>
        </w:rPr>
        <w:t xml:space="preserve">הזמן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כשבאו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הדרך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נשלחנו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וכולנו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מסכימים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מאחד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ודעה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דליתא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דמיא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כשכלב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התחיל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בלבד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עמרם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וכפירש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ועבדי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עקב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עמו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וימלא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וכפירש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שעי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להשתיקם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ואופן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שניהם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דרכים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ישרים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שבאופן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הנפש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משומרת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אופן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כונתו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לשמים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אופן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וכמעשה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ניחא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בתוספתא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שלפעמים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ולפעמים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ללמד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ששניהם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שקולים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בודאי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והקב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העמידו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ששתי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הדרכים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צודקות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שכתבנו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pStyle w:val="Heading3"/>
        <w:numPr>
          <w:ilvl w:val="0"/>
          <w:numId w:val="1"/>
        </w:numPr>
        <w:spacing w:line="240" w:lineRule="auto"/>
        <w:ind w:left="720" w:hanging="360"/>
        <w:jc w:val="center"/>
        <w:rPr/>
      </w:pPr>
      <w:bookmarkStart w:colFirst="0" w:colLast="0" w:name="_sip02kk23j5j" w:id="3"/>
      <w:bookmarkEnd w:id="3"/>
      <w:r w:rsidDel="00000000" w:rsidR="00000000" w:rsidRPr="00000000">
        <w:rPr>
          <w:rtl w:val="0"/>
        </w:rPr>
        <w:t xml:space="preserve">Loner vs. Leader</w:t>
      </w:r>
    </w:p>
    <w:tbl>
      <w:tblPr>
        <w:tblStyle w:val="Table4"/>
        <w:bidiVisual w:val="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8"/>
        <w:gridCol w:w="4968"/>
        <w:tblGridChange w:id="0">
          <w:tblGrid>
            <w:gridCol w:w="4968"/>
            <w:gridCol w:w="49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במדבר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כז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יח</w:t>
            </w:r>
          </w:p>
          <w:p w:rsidR="00000000" w:rsidDel="00000000" w:rsidP="00000000" w:rsidRDefault="00000000" w:rsidRPr="00000000" w14:paraId="0000001B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ֹּ֨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ֶׁ֗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ָ֙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ֻׁ֣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ִ֖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ׁ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ֶׁ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ּ֑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ֹ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ָּ֥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ָ֖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: </w:t>
            </w:r>
          </w:p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  <w:b w:val="1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דברים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לד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ט</w:t>
            </w:r>
          </w:p>
          <w:p w:rsidR="00000000" w:rsidDel="00000000" w:rsidP="00000000" w:rsidRDefault="00000000" w:rsidRPr="00000000" w14:paraId="0000001E">
            <w:pPr>
              <w:bidi w:val="1"/>
              <w:spacing w:line="240" w:lineRule="auto"/>
              <w:jc w:val="both"/>
              <w:rPr>
                <w:rFonts w:ascii="David Libre" w:cs="David Libre" w:eastAsia="David Libre" w:hAnsi="David Libre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ִֽ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יהו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ֻׁ֣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֗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ּ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ַ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ָ֔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ִּֽ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ַ֥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ֶׁ֛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ָ֖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ִּ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ָ֤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נ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ֵֽ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ְׂ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ֵ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֙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ַֽ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ׂ֔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ַּ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ֲ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ֶׁ֛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צ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ִ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ָּ֥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ְ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ו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ָ֖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ֶ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־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ֹ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ֶֽׁ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rtl w:val="1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commentRangeStart w:id="2"/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רש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פינחס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כז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יח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שיוכל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להלוך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כנגד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רוחו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:</w:t>
      </w:r>
    </w:p>
    <w:p w:rsidR="00000000" w:rsidDel="00000000" w:rsidP="00000000" w:rsidRDefault="00000000" w:rsidRPr="00000000" w14:paraId="0000002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אבן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עזרא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ט</w:t>
      </w:r>
    </w:p>
    <w:p w:rsidR="00000000" w:rsidDel="00000000" w:rsidP="00000000" w:rsidRDefault="00000000" w:rsidRPr="00000000" w14:paraId="00000024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והעד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סמך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ימצא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בישראל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שישען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ויעשו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שישמעו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25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כד</w:t>
      </w:r>
    </w:p>
    <w:p w:rsidR="00000000" w:rsidDel="00000000" w:rsidP="00000000" w:rsidRDefault="00000000" w:rsidRPr="00000000" w14:paraId="00000027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ועבדי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הזכיר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פירש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שיוריש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ושכר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לפרשו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עתה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והקדים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יפונה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הקדים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לחלוק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המרגלים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יפנה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האנשים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בעבור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גודל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מעלת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</w:p>
    <w:p w:rsidR="00000000" w:rsidDel="00000000" w:rsidP="00000000" w:rsidRDefault="00000000" w:rsidRPr="00000000" w14:paraId="00000028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color w:val="3c4043"/>
          <w:highlight w:val="white"/>
        </w:rPr>
      </w:pP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שפתי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כהן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במדבר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פינחס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כז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color w:val="3c4043"/>
          <w:highlight w:val="white"/>
          <w:rtl w:val="1"/>
        </w:rPr>
        <w:t xml:space="preserve">יח</w:t>
      </w:r>
    </w:p>
    <w:p w:rsidR="00000000" w:rsidDel="00000000" w:rsidP="00000000" w:rsidRDefault="00000000" w:rsidRPr="00000000" w14:paraId="0000002A">
      <w:pPr>
        <w:bidi w:val="1"/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שופטים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ויעבדו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העם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ימי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מכאן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כאילו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ממש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לוקח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שנבואתו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אצולה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ממך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בתרא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ונתת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מהודך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הודך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פני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כפני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ופני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כפני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לבנה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שימש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המדרש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עוסק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יומם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חז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ילקוט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רמז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תשע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ימוש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האוהל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דאת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ימוש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מפיך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והגית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יומם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ולילה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חכמה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וכמה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color w:val="3c4043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115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1" w:date="2020-06-10T06:12:07Z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הכרי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Yehudah b. R. Yoseph haCohen (Katz, Kahanah, Heller)was born in Kalish, Poland, circa 1740 /5500.</w:t>
      </w:r>
    </w:p>
  </w:comment>
  <w:comment w:author="Dani Schreiber" w:id="0" w:date="2020-06-11T17:37:27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ביוגרפיה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פלטיאל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R. Haym Paltiel b"r Jacob was born c. 1240 and lived in Felaise, France, relocating to Magdebourg, Germany.</w:t>
      </w:r>
    </w:p>
  </w:comment>
  <w:comment w:author="Dani Schreiber" w:id="2" w:date="2020-06-10T19:46:08Z"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פינחס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שופטים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ויעבדו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שנבואתו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אצולה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מהודך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הודך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ילקוט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רמז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והגית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יומם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הקדוש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אצלי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וממתין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ומעריב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הספסלים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ולפרוס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המחצלאות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יטול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השררה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נבואה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וניבאו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למפרע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נביא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הרמז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למפרע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נתנבא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פסוק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ענינו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דביהושע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כתיב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ומשרתו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שהקטין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להשפיעם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מתורתו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פירשנו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קהלת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שפירשו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קהלת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דקאי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התלמידים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היוצאים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כידוע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נקרא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המקבלים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מספיקין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מרבם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שטרודים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להשפיע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ופירשנו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שפירשו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וחילה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שמצינו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ביהושע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האוהל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מוכר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לוקח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ומקבל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משפיעים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מפניני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בטח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מבחין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כמשחז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דעתו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דרביה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ארבעין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