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bookmarkStart w:colFirst="0" w:colLast="0" w:name="_65b6lwl5ocam" w:id="0"/>
      <w:bookmarkEnd w:id="0"/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כגגית</w:t>
      </w:r>
    </w:p>
    <w:p w:rsidR="00000000" w:rsidDel="00000000" w:rsidP="00000000" w:rsidRDefault="00000000" w:rsidRPr="00000000" w14:paraId="00000002">
      <w:pPr>
        <w:pStyle w:val="Heading2"/>
        <w:bidi w:val="1"/>
        <w:spacing w:line="240" w:lineRule="auto"/>
        <w:jc w:val="both"/>
        <w:rPr/>
      </w:pPr>
      <w:bookmarkStart w:colFirst="0" w:colLast="0" w:name="_726lzh4st1p0" w:id="1"/>
      <w:bookmarkEnd w:id="1"/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מרדכי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שבועות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שבועות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שתים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רמז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תשנז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והשתא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בערבות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מואב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ותירץ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דהתם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יראים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מהקב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יביאם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לארץ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ליכנס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לאלתר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ומכאן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מאיר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וחומר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דהכא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דהדר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קבלוה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בימי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אחשורוש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מחמת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שמחת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הנס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מיענשי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אשבועתא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דערבות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מואב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אשבועתייהו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דאנוסים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הדבור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מפחד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יביאם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לארץ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ושמא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יניעם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במדבר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אונס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מענשי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דבעשיית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רצונו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קבול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שכר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המאנס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ומייסרו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ומשביעו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לדעתו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דבעשית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רצונו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[*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שיפטור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ייסרנו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באותה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שבועה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חרם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מדרש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תנחומא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ורשא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ג</w:t>
      </w:r>
    </w:p>
    <w:p w:rsidR="00000000" w:rsidDel="00000000" w:rsidP="00000000" w:rsidRDefault="00000000" w:rsidRPr="00000000" w14:paraId="00000007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כגיגית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ויתיצבו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בתחתית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מקבלים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מוטב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קבורתכם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משעה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מקבלין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ואמרו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ונשמע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?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יגיעה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וצער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והיא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מעט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דקדוקי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קלות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וחמורות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והיא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כמות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וקשה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כשאול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קנאתה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לומד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שאוהב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לבו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נפשו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מאודו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ואהבת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אלהיך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לבבך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נפשך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מאודך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'),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אהבה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לבבך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ושננתם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לבניך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ספר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תפארת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לב</w:t>
      </w:r>
    </w:p>
    <w:p w:rsidR="00000000" w:rsidDel="00000000" w:rsidP="00000000" w:rsidRDefault="00000000" w:rsidRPr="00000000" w14:paraId="0000000A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0"/>
        </w:rPr>
        <w:t xml:space="preserve">(1)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יאמרו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אנחנו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קבלנו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מעצמנו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רוצים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מקבלים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תלוי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חוזר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לתהו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שתהיה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קבלת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בבחירת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מחייב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ומכריח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לקבל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זולת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יחזיר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לתהו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ובהו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כגיגית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ונשמע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"?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קשיא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דודאי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יחזרו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יחזרו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ונשמע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שלמות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המציאות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שכך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בחרו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לקבל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שלמות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תולה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אפשרי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שיקבלו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יקבלו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כגיגית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מקבלים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קבורתכם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0"/>
        </w:rPr>
        <w:t xml:space="preserve">(2)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כגיגית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יאמרו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ושלום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בטול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לקבלת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מרצונם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להפטר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בהכרח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כפה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כגיגית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מוכרחים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לקבל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מוכרח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ומחויב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הסרה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וביטול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מוכרח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u w:val="singl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מוכרח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במדרש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בפסוק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שלחה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ימיו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"...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אנוסתו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ואצל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אנוסתו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שלחה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ימיו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מפתה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שמשפט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האונס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המאנס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המאנס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מכריח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הבתולה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מוכרח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מחויב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שלחה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ההכרחי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יתברך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כגיגית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החבור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הכרחי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זיווג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וחבור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הכרחי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סלוק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והסרה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המאנס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0"/>
        </w:rPr>
        <w:t xml:space="preserve">R. Soloveitchik, The Lonely Man of Faith, p. 46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</w:rPr>
        <w:drawing>
          <wp:inline distB="114300" distT="114300" distL="114300" distR="114300">
            <wp:extent cx="3475689" cy="158087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5689" cy="1580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</w:rPr>
      </w:pPr>
      <w:commentRangeStart w:id="0"/>
      <w:commentRangeStart w:id="1"/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פני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פח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דעיקר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התנאי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במעשה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בראשית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שבכתב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כפיית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כגיגית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בשביל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שבשבילה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כרת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ברית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הניזקין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גיטין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יאמינו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ודרשו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לרבות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הנביאים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והזקנים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שקיבלו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הוצרך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כפיית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כגיגית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אחשורוש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שהאיר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עיניהם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שכיוונו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הקודש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קריאת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המגילה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נרמז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הלוחות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דמגילה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דכתיב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מלמד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דקדוקי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סופרים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מגילה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מפורש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בהלוחות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ומש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מסתמא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קיבלו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</w:rPr>
      </w:pPr>
      <w:commentRangeStart w:id="2"/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פנים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יפות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במדבר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טז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בריאה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יברא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ראויה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ילק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תשנ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תדעון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שכפרו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שנקרא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כתבנו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כגיגית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תקבלו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מוטב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קבורתכם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שבעונש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קבורה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בחיים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שזהו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שאחז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המתעצל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בהספידו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חכם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לקברו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בחיים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שעיקר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ההספד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מיתת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מונחת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בקידושין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בהריגת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ינאי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שנהפך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למינות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המתעצל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בהספדו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כמורד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</w:p>
    <w:p w:rsidR="00000000" w:rsidDel="00000000" w:rsidP="00000000" w:rsidRDefault="00000000" w:rsidRPr="00000000" w14:paraId="00000016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גירושין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</w:t>
      </w:r>
    </w:p>
    <w:p w:rsidR="00000000" w:rsidDel="00000000" w:rsidP="00000000" w:rsidRDefault="00000000" w:rsidRPr="00000000" w14:paraId="00000018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שכופין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ויכתוב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הכוהו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אומרין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ולחצו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הגוים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שיגרש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הגוים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מעצמן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אנסוהו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שיכתוב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אומרין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שנלחץ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ונדחק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מחוייב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לעשותו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שתקפו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יצרו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עבירה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לעשותו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שנתרחק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לעשותו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בדעתו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משך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חכמה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שמות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יט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יז</w:t>
      </w:r>
    </w:p>
    <w:p w:rsidR="00000000" w:rsidDel="00000000" w:rsidP="00000000" w:rsidRDefault="00000000" w:rsidRPr="00000000" w14:paraId="0000001B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כגיגית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שהראה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כבוד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בהקיץ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ובהתגלות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נפלאה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בטלה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בחירתם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הטבעי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ויצאה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נשמתם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מהשגת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כבוד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'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והיו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מוכרחים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כמלאכים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הבדל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וראו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הנבראים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תלוי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בקבלת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'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מודעא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לאורייתא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דכופין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בקרבנות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'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טעמו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כפירוש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בהלכות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גירושין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לשונו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הזהב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"...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'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שנלחץ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ונדחק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מחויב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"...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שיטת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דקטן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שנתגייר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הגדיל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למחות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תושב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דמודעה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נשארו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תושב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נענשו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עבודת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ושפיכות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דמים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ועריות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שגר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תושב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מוזהר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הדר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וקיבלוה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בימי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אחשורוש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נענשו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מצוות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ודו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pStyle w:val="Heading2"/>
        <w:bidi w:val="1"/>
        <w:rPr/>
      </w:pPr>
      <w:bookmarkStart w:colFirst="0" w:colLast="0" w:name="_8ls6mvrv8a03" w:id="2"/>
      <w:bookmarkEnd w:id="2"/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קבלוה</w:t>
      </w:r>
    </w:p>
    <w:p w:rsidR="00000000" w:rsidDel="00000000" w:rsidP="00000000" w:rsidRDefault="00000000" w:rsidRPr="00000000" w14:paraId="0000001D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בבלי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בבא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בתרא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</w:t>
      </w:r>
    </w:p>
    <w:p w:rsidR="00000000" w:rsidDel="00000000" w:rsidP="00000000" w:rsidRDefault="00000000" w:rsidRPr="00000000" w14:paraId="0000001E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המקיף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משלש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רוחותיו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הראשונה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השלישית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מחייבין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הרביעית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מגלגלין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מגילה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: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תנחום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שצריכה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שרטוט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כאמיתה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21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תפארת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ישראל</w:t>
      </w:r>
    </w:p>
    <w:p w:rsidR="00000000" w:rsidDel="00000000" w:rsidP="00000000" w:rsidRDefault="00000000" w:rsidRPr="00000000" w14:paraId="00000023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'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מודעה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לאורייתא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בהכרח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גמורה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ברצון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המקבל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כגיגית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הכרח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רצון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'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אחשורוש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''.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ביאור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אחשורוש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מרצונם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גזר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יתברך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מעצמם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והסכים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מגילה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שנתחדשה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מגילה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ארבעים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ושמנה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נביאים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נביאות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פחתו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הוסיפו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מגילה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נלמוד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מגילה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תוספות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מפרש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מגילה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נרמז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מגילה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שקבלו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מעצמם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ההכרח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מתחלה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מרצונם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והקב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מקבלים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מרצונם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אחרונה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מגילה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מעצמם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הכריח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קודמים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מגילה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ברצון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כאילו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תחילה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ברצון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הוכיח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התחלה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פח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</w:p>
    <w:p w:rsidR="00000000" w:rsidDel="00000000" w:rsidP="00000000" w:rsidRDefault="00000000" w:rsidRPr="00000000" w14:paraId="00000027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מסופו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לתחלתו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אחשורוש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מצווים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נענשו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שעברו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גזירת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מודעא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הצריכם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לקבלה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וברית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דמתחלה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מודעא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הארץ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שיקיימו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שמפורש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פרשיות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וכתיב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תהלים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ארצות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ועמל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ירשו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בעבור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חוקיו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ותורותיו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ינצורו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עצמן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מתחלה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עכבו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במודעא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ברצון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נפשם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מעצמם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ונשמע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כשעברו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עמד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והגלם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הארץ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משגלו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מסרו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מודעא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מדכתיב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יחזקאל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והעולה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רוחכם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אתם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כגוים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וכמשפחות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האדמה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לשרת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עץ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ואבן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וכדאמרינן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באגדה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יחזקאל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שמכרו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כשבאו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לארץ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בביאה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שניה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בימי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עזרא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עמדו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מעצמם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וקבלוה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ברצון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יטענו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תרעומות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בימי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אחשורוש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שהוציאם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ממות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לחיים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חביב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מגאולה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מצרים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שערים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מצויינים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בהלכה</w:t>
      </w:r>
    </w:p>
    <w:p w:rsidR="00000000" w:rsidDel="00000000" w:rsidP="00000000" w:rsidRDefault="00000000" w:rsidRPr="00000000" w14:paraId="0000002A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</w:rPr>
        <w:drawing>
          <wp:inline distB="114300" distT="114300" distL="114300" distR="114300">
            <wp:extent cx="2485887" cy="285877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5887" cy="2858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863.9999999999999" w:right="863.9999999999999" w:header="720" w:footer="720"/>
      <w:pgNumType w:start="1"/>
      <w:cols w:equalWidth="0"/>
      <w:bidi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 Schreiber" w:id="0" w:date="2020-05-31T18:06:40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יהושע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 Jacob Joshua ben R. Tzvi Hirsh Falk was born in Cracow in 1680.</w:t>
      </w:r>
    </w:p>
  </w:comment>
  <w:comment w:author="Dani Schreiber" w:id="1" w:date="2020-06-01T10:08:11Z"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Combines the midrash and Maharal</w:t>
      </w:r>
    </w:p>
  </w:comment>
  <w:comment w:author="Dani Schreiber" w:id="2" w:date="2020-05-31T18:06:41Z"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יפות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 Pinchas son of R. Zvi Hirsh haLevi Horowitz (or Ish Horowitz)was born in Tchortekov, Poland, in 1730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