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bidi w:val="1"/>
        <w:jc w:val="both"/>
        <w:rPr/>
      </w:pPr>
      <w:bookmarkStart w:colFirst="0" w:colLast="0" w:name="_i2ivqwafmni4" w:id="0"/>
      <w:bookmarkEnd w:id="0"/>
      <w:r w:rsidDel="00000000" w:rsidR="00000000" w:rsidRPr="00000000">
        <w:rPr>
          <w:rtl w:val="1"/>
        </w:rPr>
        <w:t xml:space="preserve">שבת</w:t>
      </w:r>
      <w:r w:rsidDel="00000000" w:rsidR="00000000" w:rsidRPr="00000000">
        <w:rPr>
          <w:rtl w:val="1"/>
        </w:rPr>
        <w:t xml:space="preserve"> </w:t>
      </w:r>
      <w:r w:rsidDel="00000000" w:rsidR="00000000" w:rsidRPr="00000000">
        <w:rPr>
          <w:rtl w:val="1"/>
        </w:rPr>
        <w:t xml:space="preserve">עב</w:t>
      </w:r>
      <w:r w:rsidDel="00000000" w:rsidR="00000000" w:rsidRPr="00000000">
        <w:rPr>
          <w:rtl w:val="1"/>
        </w:rPr>
        <w:t xml:space="preserve"> - </w:t>
      </w:r>
      <w:r w:rsidDel="00000000" w:rsidR="00000000" w:rsidRPr="00000000">
        <w:rPr>
          <w:rtl w:val="1"/>
        </w:rPr>
        <w:t xml:space="preserve">מתעסק</w:t>
      </w:r>
    </w:p>
    <w:p w:rsidR="00000000" w:rsidDel="00000000" w:rsidP="00000000" w:rsidRDefault="00000000" w:rsidRPr="00000000" w14:paraId="00000002">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תלמוד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בבלי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כריתות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יט</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03">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תניא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אליעזר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נפשך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יהושע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שיודע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אליעזר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מיבעי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למתעסק</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04">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דחלבים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ועריות</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נחמן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שמואל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בחלבים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ועריות</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נהנה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בשבת</w:t>
      </w:r>
      <w:r w:rsidDel="00000000" w:rsidR="00000000" w:rsidRPr="00000000">
        <w:rPr>
          <w:rFonts w:ascii="David" w:cs="David" w:eastAsia="David" w:hAnsi="David"/>
          <w:sz w:val="24"/>
          <w:szCs w:val="24"/>
          <w:u w:val="single"/>
          <w:rtl w:val="1"/>
        </w:rPr>
        <w:t xml:space="preserve"> - </w:t>
      </w:r>
      <w:r w:rsidDel="00000000" w:rsidR="00000000" w:rsidRPr="00000000">
        <w:rPr>
          <w:rFonts w:ascii="David" w:cs="David" w:eastAsia="David" w:hAnsi="David"/>
          <w:sz w:val="24"/>
          <w:szCs w:val="24"/>
          <w:u w:val="single"/>
          <w:rtl w:val="1"/>
        </w:rPr>
        <w:t xml:space="preserve">פטור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טעמא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תורה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לרבא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משכחת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לאביי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משכחת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להגביה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w:t>
      </w:r>
      <w:r w:rsidDel="00000000" w:rsidR="00000000" w:rsidRPr="00000000">
        <w:rPr>
          <w:rtl w:val="0"/>
        </w:rPr>
      </w:r>
    </w:p>
    <w:p w:rsidR="00000000" w:rsidDel="00000000" w:rsidP="00000000" w:rsidRDefault="00000000" w:rsidRPr="00000000" w14:paraId="00000005">
      <w:pPr>
        <w:pStyle w:val="Heading2"/>
        <w:bidi w:val="1"/>
        <w:spacing w:line="240" w:lineRule="auto"/>
        <w:jc w:val="both"/>
        <w:rPr/>
      </w:pPr>
      <w:bookmarkStart w:colFirst="0" w:colLast="0" w:name="_u4atsjpmlimx" w:id="1"/>
      <w:bookmarkEnd w:id="1"/>
      <w:r w:rsidDel="00000000" w:rsidR="00000000" w:rsidRPr="00000000">
        <w:rPr>
          <w:rtl w:val="1"/>
        </w:rPr>
        <w:t xml:space="preserve">מתעסק</w:t>
      </w:r>
      <w:r w:rsidDel="00000000" w:rsidR="00000000" w:rsidRPr="00000000">
        <w:rPr>
          <w:rtl w:val="1"/>
        </w:rPr>
        <w:t xml:space="preserve"> </w:t>
      </w:r>
      <w:r w:rsidDel="00000000" w:rsidR="00000000" w:rsidRPr="00000000">
        <w:rPr>
          <w:rtl w:val="1"/>
        </w:rPr>
        <w:t xml:space="preserve">באיסור</w:t>
      </w:r>
      <w:r w:rsidDel="00000000" w:rsidR="00000000" w:rsidRPr="00000000">
        <w:rPr>
          <w:rtl w:val="1"/>
        </w:rPr>
        <w:t xml:space="preserve"> </w:t>
      </w:r>
      <w:r w:rsidDel="00000000" w:rsidR="00000000" w:rsidRPr="00000000">
        <w:rPr>
          <w:rtl w:val="1"/>
        </w:rPr>
        <w:t xml:space="preserve">ואיסור</w:t>
      </w:r>
    </w:p>
    <w:p w:rsidR="00000000" w:rsidDel="00000000" w:rsidP="00000000" w:rsidRDefault="00000000" w:rsidRPr="00000000" w14:paraId="00000006">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רש</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סנהדרין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w:t>
      </w:r>
    </w:p>
    <w:p w:rsidR="00000000" w:rsidDel="00000000" w:rsidP="00000000" w:rsidRDefault="00000000" w:rsidRPr="00000000" w14:paraId="00000007">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שבשאר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מתכוין</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בחלבין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ובעריות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למתוקמא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המהותך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וכסבור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ובלעו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לאכילה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בבליעת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והיכי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גמור</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כסבור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ואכלו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לאכילה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כדאמרן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בשמעתין</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שכן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נהנה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כגון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נתכוין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להגביה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התלוש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וחתך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המחובר</w:t>
      </w:r>
      <w:r w:rsidDel="00000000" w:rsidR="00000000" w:rsidRPr="00000000">
        <w:rPr>
          <w:rFonts w:ascii="David" w:cs="David" w:eastAsia="David" w:hAnsi="David"/>
          <w:sz w:val="24"/>
          <w:szCs w:val="24"/>
          <w:u w:val="single"/>
          <w:rtl w:val="1"/>
        </w:rPr>
        <w:t xml:space="preserve"> - </w:t>
      </w:r>
      <w:r w:rsidDel="00000000" w:rsidR="00000000" w:rsidRPr="00000000">
        <w:rPr>
          <w:rFonts w:ascii="David" w:cs="David" w:eastAsia="David" w:hAnsi="David"/>
          <w:sz w:val="24"/>
          <w:szCs w:val="24"/>
          <w:u w:val="single"/>
          <w:rtl w:val="1"/>
        </w:rPr>
        <w:t xml:space="preserve">פטור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שנאמר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ויקרא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אשר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חטא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בה</w:t>
      </w:r>
      <w:r w:rsidDel="00000000" w:rsidR="00000000" w:rsidRPr="00000000">
        <w:rPr>
          <w:rFonts w:ascii="David" w:cs="David" w:eastAsia="David" w:hAnsi="David"/>
          <w:sz w:val="24"/>
          <w:szCs w:val="24"/>
          <w:u w:val="single"/>
          <w:rtl w:val="1"/>
        </w:rPr>
        <w:t xml:space="preserve"> - </w:t>
      </w:r>
      <w:r w:rsidDel="00000000" w:rsidR="00000000" w:rsidRPr="00000000">
        <w:rPr>
          <w:rFonts w:ascii="David" w:cs="David" w:eastAsia="David" w:hAnsi="David"/>
          <w:sz w:val="24"/>
          <w:szCs w:val="24"/>
          <w:u w:val="single"/>
          <w:rtl w:val="1"/>
        </w:rPr>
        <w:t xml:space="preserve">עד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שיתכוין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פרט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בדבר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ועלתה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זו</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ומיהו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ועלה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אכילת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חלבים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עריות</w:t>
      </w:r>
      <w:r w:rsidDel="00000000" w:rsidR="00000000" w:rsidRPr="00000000">
        <w:rPr>
          <w:rFonts w:ascii="David" w:cs="David" w:eastAsia="David" w:hAnsi="David"/>
          <w:sz w:val="24"/>
          <w:szCs w:val="24"/>
          <w:u w:val="single"/>
          <w:rtl w:val="1"/>
        </w:rPr>
        <w:t xml:space="preserve"> - </w:t>
      </w:r>
      <w:r w:rsidDel="00000000" w:rsidR="00000000" w:rsidRPr="00000000">
        <w:rPr>
          <w:rFonts w:ascii="David" w:cs="David" w:eastAsia="David" w:hAnsi="David"/>
          <w:sz w:val="24"/>
          <w:szCs w:val="24"/>
          <w:u w:val="single"/>
          <w:rtl w:val="1"/>
        </w:rPr>
        <w:t xml:space="preserve">חייב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שכבר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נהנה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בעבודה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לאוקומא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והיכי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מתכוין</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נימא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08">
      <w:pPr>
        <w:bidi w:val="1"/>
        <w:spacing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09">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תלמוד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בבלי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כריתות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0A">
      <w:pPr>
        <w:bidi w:val="1"/>
        <w:spacing w:line="240" w:lineRule="auto"/>
        <w:jc w:val="both"/>
        <w:rPr>
          <w:rFonts w:ascii="David" w:cs="David" w:eastAsia="David" w:hAnsi="David"/>
          <w:b w:val="1"/>
        </w:rPr>
      </w:pPr>
      <w:r w:rsidDel="00000000" w:rsidR="00000000" w:rsidRPr="00000000">
        <w:rPr>
          <w:rFonts w:ascii="David" w:cs="David" w:eastAsia="David" w:hAnsi="David"/>
          <w:sz w:val="24"/>
          <w:szCs w:val="24"/>
          <w:rtl w:val="1"/>
        </w:rPr>
        <w:t xml:space="preserve">והתניא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נרות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דולקות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ארוכות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לכבות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וכיבה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להדליק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והדליק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u w:val="single"/>
          <w:rtl w:val="1"/>
        </w:rPr>
        <w:t xml:space="preserve">פטור</w:t>
      </w:r>
      <w:r w:rsidDel="00000000" w:rsidR="00000000" w:rsidRPr="00000000">
        <w:rPr>
          <w:rFonts w:ascii="David" w:cs="David" w:eastAsia="David" w:hAnsi="David"/>
          <w:sz w:val="24"/>
          <w:szCs w:val="24"/>
          <w:rtl w:val="0"/>
        </w:rPr>
        <w:t xml:space="preserve">.</w:t>
      </w:r>
      <w:r w:rsidDel="00000000" w:rsidR="00000000" w:rsidRPr="00000000">
        <w:rPr>
          <w:rtl w:val="0"/>
        </w:rPr>
      </w:r>
    </w:p>
    <w:p w:rsidR="00000000" w:rsidDel="00000000" w:rsidP="00000000" w:rsidRDefault="00000000" w:rsidRPr="00000000" w14:paraId="0000000B">
      <w:pPr>
        <w:bidi w:val="1"/>
        <w:spacing w:line="240" w:lineRule="auto"/>
        <w:jc w:val="both"/>
        <w:rPr>
          <w:rFonts w:ascii="David" w:cs="David" w:eastAsia="David" w:hAnsi="David"/>
          <w:b w:val="1"/>
          <w:sz w:val="24"/>
          <w:szCs w:val="24"/>
        </w:rPr>
      </w:pPr>
      <w:r w:rsidDel="00000000" w:rsidR="00000000" w:rsidRPr="00000000">
        <w:rPr>
          <w:rtl w:val="0"/>
        </w:rPr>
      </w:r>
    </w:p>
    <w:p w:rsidR="00000000" w:rsidDel="00000000" w:rsidP="00000000" w:rsidRDefault="00000000" w:rsidRPr="00000000" w14:paraId="0000000C">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w:t>
      </w:r>
    </w:p>
    <w:p w:rsidR="00000000" w:rsidDel="00000000" w:rsidP="00000000" w:rsidRDefault="00000000" w:rsidRPr="00000000" w14:paraId="0000000D">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היו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נרות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דולקות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כבויות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לכבות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להדליק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והדליק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חייב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שחשב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לעשותה</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ללקט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תאנה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וליקט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תאנה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להרוג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והרג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נעשית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שחשב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לעשותה</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0E">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0F">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שגגות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w:t>
      </w:r>
    </w:p>
    <w:p w:rsidR="00000000" w:rsidDel="00000000" w:rsidP="00000000" w:rsidRDefault="00000000" w:rsidRPr="00000000" w14:paraId="00000010">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שגג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גופין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כיצד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נדות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ושגג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עצמו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נרות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דולקות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תמחויין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מאחד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תמחוי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בזה</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11">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2">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לחם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פרק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w:t>
      </w:r>
    </w:p>
    <w:p w:rsidR="00000000" w:rsidDel="00000000" w:rsidP="00000000" w:rsidRDefault="00000000" w:rsidRPr="00000000" w14:paraId="00000013">
      <w:pPr>
        <w:bidi w:val="1"/>
        <w:spacing w:line="240"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ונ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לתרץ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לתוס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גדול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איכוון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לחתיכה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דאיסורא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ואביי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משמע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לחתיכה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דאיסורא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לשמואל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ותירצו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איירי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כסבור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ונמצא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ורבינו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רצה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לתרץ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דמשמע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דפליגי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אביי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ורבא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שמואל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ופסק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כוותיה</w:t>
      </w:r>
      <w:r w:rsidDel="00000000" w:rsidR="00000000" w:rsidRPr="00000000">
        <w:rPr>
          <w:rFonts w:ascii="David" w:cs="David" w:eastAsia="David" w:hAnsi="David"/>
          <w:sz w:val="24"/>
          <w:szCs w:val="24"/>
          <w:u w:val="single"/>
          <w:rtl w:val="1"/>
        </w:rPr>
        <w:t xml:space="preserve"> </w:t>
      </w:r>
    </w:p>
    <w:p w:rsidR="00000000" w:rsidDel="00000000" w:rsidP="00000000" w:rsidRDefault="00000000" w:rsidRPr="00000000" w14:paraId="00000014">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5">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חיי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אדם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ג</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הלכות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ומועדים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כלל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סעיף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w:t>
      </w:r>
    </w:p>
    <w:p w:rsidR="00000000" w:rsidDel="00000000" w:rsidP="00000000" w:rsidRDefault="00000000" w:rsidRPr="00000000" w14:paraId="00000016">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כגון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שנתכוין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לחתוך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וחתך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b w:val="1"/>
          <w:sz w:val="24"/>
          <w:szCs w:val="24"/>
          <w:u w:val="single"/>
          <w:rtl w:val="1"/>
        </w:rPr>
        <w:t xml:space="preserve">להדליק</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נר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זה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והדליק</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אחר</w:t>
      </w:r>
      <w:r w:rsidDel="00000000" w:rsidR="00000000" w:rsidRPr="00000000">
        <w:rPr>
          <w:rFonts w:ascii="David" w:cs="David" w:eastAsia="David" w:hAnsi="David"/>
          <w:sz w:val="24"/>
          <w:szCs w:val="24"/>
          <w:u w:val="single"/>
          <w:rtl w:val="0"/>
        </w:rPr>
        <w:t xml:space="preserve">, </w:t>
      </w:r>
      <w:r w:rsidDel="00000000" w:rsidR="00000000" w:rsidRPr="00000000">
        <w:rPr>
          <w:rFonts w:ascii="David" w:cs="David" w:eastAsia="David" w:hAnsi="David"/>
          <w:b w:val="1"/>
          <w:sz w:val="24"/>
          <w:szCs w:val="24"/>
          <w:u w:val="single"/>
          <w:rtl w:val="1"/>
        </w:rPr>
        <w:t xml:space="preserve">פטור</w:t>
      </w:r>
      <w:r w:rsidDel="00000000" w:rsidR="00000000" w:rsidRPr="00000000">
        <w:rPr>
          <w:rtl w:val="0"/>
        </w:rPr>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תורה</w:t>
      </w:r>
      <w:r w:rsidDel="00000000" w:rsidR="00000000" w:rsidRPr="00000000">
        <w:rPr>
          <w:rFonts w:ascii="David" w:cs="David" w:eastAsia="David" w:hAnsi="David"/>
          <w:sz w:val="24"/>
          <w:szCs w:val="24"/>
          <w:u w:val="single"/>
          <w:rtl w:val="1"/>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הראב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בלח</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ונמצא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ולתוספות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לכולי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נקרא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נתכוין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לחתוך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מחובר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שסבר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מותרת</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ששכח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כריתות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ותוס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הכרע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ובהלכות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דסבירא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17">
      <w:pPr>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8">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ערוך</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השולחן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אורח</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רמב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סעיף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כה</w:t>
      </w:r>
    </w:p>
    <w:p w:rsidR="00000000" w:rsidDel="00000000" w:rsidP="00000000" w:rsidRDefault="00000000" w:rsidRPr="00000000" w14:paraId="00000019">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נעשית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חמור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כגון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בגמ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ולפירש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הכוונה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קישות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קישות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ורבותינו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דבכה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כמבואר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בכריתות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ללקוט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תאנה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ולקט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תאנה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איריא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וודאי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לחתוך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פירושו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שחתך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הקישות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שרצה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סבור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תלוש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ונמצא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בהיתר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היטב</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1A">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sz w:val="24"/>
          <w:szCs w:val="24"/>
          <w:rtl w:val="1"/>
        </w:rPr>
        <w:t xml:space="preserve">אמנם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הרמב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נראה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להדיא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הסכימו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המפרשים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דמדבריו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מתבאר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דכשנתכוין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ועלתה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מחובר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שינוי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באמת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והראב</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השיג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דכריתות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הרמב</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דחי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דכריתות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מפני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סוגיא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דשבת</w:t>
      </w:r>
      <w:r w:rsidDel="00000000" w:rsidR="00000000" w:rsidRPr="00000000">
        <w:rPr>
          <w:rFonts w:ascii="David" w:cs="David" w:eastAsia="David" w:hAnsi="David"/>
          <w:sz w:val="24"/>
          <w:szCs w:val="24"/>
          <w:u w:val="single"/>
          <w:rtl w:val="1"/>
        </w:rPr>
        <w:t xml:space="preserve"> </w:t>
      </w: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לח</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ועוד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נלע</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דגם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סוגיא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דכריתות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לפי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המסקנא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סוברת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כן</w:t>
      </w:r>
      <w:r w:rsidDel="00000000" w:rsidR="00000000" w:rsidRPr="00000000">
        <w:rPr>
          <w:rFonts w:ascii="David" w:cs="David" w:eastAsia="David" w:hAnsi="David"/>
          <w:b w:val="1"/>
          <w:sz w:val="24"/>
          <w:szCs w:val="24"/>
          <w:rtl w:val="1"/>
        </w:rPr>
        <w:t xml:space="preserve"> </w:t>
      </w:r>
    </w:p>
    <w:p w:rsidR="00000000" w:rsidDel="00000000" w:rsidP="00000000" w:rsidRDefault="00000000" w:rsidRPr="00000000" w14:paraId="0000001B">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C">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1D">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ברכת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אברהם</w:t>
      </w:r>
    </w:p>
    <w:p w:rsidR="00000000" w:rsidDel="00000000" w:rsidP="00000000" w:rsidRDefault="00000000" w:rsidRPr="00000000" w14:paraId="0000001E">
      <w:pPr>
        <w:bidi w:val="1"/>
        <w:spacing w:line="240" w:lineRule="auto"/>
        <w:jc w:val="both"/>
        <w:rPr>
          <w:rFonts w:ascii="David" w:cs="David" w:eastAsia="David" w:hAnsi="David"/>
        </w:rPr>
      </w:pPr>
      <w:r w:rsidDel="00000000" w:rsidR="00000000" w:rsidRPr="00000000">
        <w:rPr>
          <w:rFonts w:ascii="David" w:cs="David" w:eastAsia="David" w:hAnsi="David"/>
        </w:rPr>
        <w:drawing>
          <wp:inline distB="114300" distT="114300" distL="114300" distR="114300">
            <wp:extent cx="2835254" cy="16002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35254"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bidi w:val="1"/>
        <w:spacing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20">
      <w:pPr>
        <w:bidi w:val="1"/>
        <w:spacing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21">
      <w:pPr>
        <w:pStyle w:val="Heading2"/>
        <w:bidi w:val="1"/>
        <w:spacing w:line="240" w:lineRule="auto"/>
        <w:jc w:val="both"/>
        <w:rPr/>
      </w:pPr>
      <w:bookmarkStart w:colFirst="0" w:colLast="0" w:name="_zhceug7q3r1k" w:id="2"/>
      <w:bookmarkEnd w:id="2"/>
      <w:r w:rsidDel="00000000" w:rsidR="00000000" w:rsidRPr="00000000">
        <w:rPr>
          <w:rtl w:val="1"/>
        </w:rPr>
        <w:t xml:space="preserve">מתעסק</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כולה</w:t>
      </w:r>
    </w:p>
    <w:p w:rsidR="00000000" w:rsidDel="00000000" w:rsidP="00000000" w:rsidRDefault="00000000" w:rsidRPr="00000000" w14:paraId="00000022">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מקור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לר</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מליסא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ביאורים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תלא</w:t>
      </w:r>
    </w:p>
    <w:p w:rsidR="00000000" w:rsidDel="00000000" w:rsidP="00000000" w:rsidRDefault="00000000" w:rsidRPr="00000000" w14:paraId="00000023">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דאמר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פסחים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בדיקת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חמץ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דמדאורייתא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בביטול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סגי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מוכח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בהדיא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דבדיקה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דסגי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בביטול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ביטול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בדיקה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מדאורייתא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להקשות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אהמגן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אברהם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דמדמה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לאוכל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בשוגג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הא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בחלב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גופיה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נקרא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כשמכוין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לאכילה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לאכילה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כגון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קסבר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רוק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ובלעו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מיקרי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בחלב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בחלבים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ועריות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נהנה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כמבואר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וברש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u w:val="single"/>
          <w:rtl w:val="1"/>
        </w:rPr>
        <w:t xml:space="preserve">אבל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בשאר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איסורים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שאינו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נהנה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פטור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מתעסק</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ומכ</w:t>
      </w:r>
      <w:r w:rsidDel="00000000" w:rsidR="00000000" w:rsidRPr="00000000">
        <w:rPr>
          <w:rFonts w:ascii="David" w:cs="David" w:eastAsia="David" w:hAnsi="David"/>
          <w:b w:val="1"/>
          <w:sz w:val="24"/>
          <w:szCs w:val="24"/>
          <w:u w:val="single"/>
          <w:rtl w:val="1"/>
        </w:rPr>
        <w:t xml:space="preserve">"</w:t>
      </w:r>
      <w:r w:rsidDel="00000000" w:rsidR="00000000" w:rsidRPr="00000000">
        <w:rPr>
          <w:rFonts w:ascii="David" w:cs="David" w:eastAsia="David" w:hAnsi="David"/>
          <w:b w:val="1"/>
          <w:sz w:val="24"/>
          <w:szCs w:val="24"/>
          <w:u w:val="single"/>
          <w:rtl w:val="1"/>
        </w:rPr>
        <w:t xml:space="preserve">ש</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כשאינו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מתכוין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כלל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דמותר</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באפשר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קמכוין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כמבואר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בפסחים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כ</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הכא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גבי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חמץ</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נהנה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קמכוין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אמאי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אסור</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נראה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דדוקא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בדבר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שאסרה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לעשות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אמרינן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לעשות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המעשה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בכונה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ודבר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מתכוין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מותר</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b w:val="1"/>
          <w:sz w:val="24"/>
          <w:szCs w:val="24"/>
          <w:u w:val="single"/>
          <w:rtl w:val="1"/>
        </w:rPr>
        <w:t xml:space="preserve">אבל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כשאסרה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התורה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דבר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שאין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מעשה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כגון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הכא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שאסרה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התורה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יהיה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חמץ</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בביתו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אפילו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כשאין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מתכוין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אסור</w:t>
      </w:r>
      <w:r w:rsidDel="00000000" w:rsidR="00000000" w:rsidRPr="00000000">
        <w:rPr>
          <w:rFonts w:ascii="David" w:cs="David" w:eastAsia="David" w:hAnsi="David"/>
          <w:sz w:val="24"/>
          <w:szCs w:val="24"/>
          <w:u w:val="single"/>
          <w:rtl w:val="0"/>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בסימן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וסימן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ובמגן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אברהם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סימן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דאף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כשבדק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ביטל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ומצא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אח</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כ</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חמץ</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בביתו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לאוכל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חלב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b w:val="1"/>
          <w:sz w:val="24"/>
          <w:szCs w:val="24"/>
          <w:u w:val="single"/>
          <w:rtl w:val="1"/>
        </w:rPr>
        <w:t xml:space="preserve">והטעם</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כיון</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שהיה</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בידו</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לבטל</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ולא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ביטל</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דעת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והפוסקים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שעמו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4">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5">
      <w:pPr>
        <w:bidi w:val="1"/>
        <w:spacing w:line="240" w:lineRule="auto"/>
        <w:jc w:val="both"/>
        <w:rPr>
          <w:rFonts w:ascii="David" w:cs="David" w:eastAsia="David" w:hAnsi="David"/>
          <w:sz w:val="24"/>
          <w:szCs w:val="24"/>
        </w:rPr>
      </w:pPr>
      <w:r w:rsidDel="00000000" w:rsidR="00000000" w:rsidRPr="00000000">
        <w:rPr>
          <w:rFonts w:ascii="David" w:cs="David" w:eastAsia="David" w:hAnsi="David"/>
          <w:b w:val="1"/>
          <w:sz w:val="24"/>
          <w:szCs w:val="24"/>
          <w:rtl w:val="1"/>
        </w:rPr>
        <w:t xml:space="preserve">רבי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עקיבא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איגר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שבת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עב</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w:t>
      </w:r>
      <w:r w:rsidDel="00000000" w:rsidR="00000000" w:rsidRPr="00000000">
        <w:rPr>
          <w:rtl w:val="0"/>
        </w:rPr>
      </w:r>
    </w:p>
    <w:p w:rsidR="00000000" w:rsidDel="00000000" w:rsidP="00000000" w:rsidRDefault="00000000" w:rsidRPr="00000000" w14:paraId="00000026">
      <w:pPr>
        <w:bidi w:val="1"/>
        <w:spacing w:line="240"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ונ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חדש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דממעטינן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מאשר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חטא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פרט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נעשית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דמקרי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ואך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כהאי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ממעטינן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מאשר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חטא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דפטור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מקרבן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מקרי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שגגת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דממעטינן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מטעם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אסרה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היכא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דליכא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בכלל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כלל</w:t>
      </w:r>
      <w:r w:rsidDel="00000000" w:rsidR="00000000" w:rsidRPr="00000000">
        <w:rPr>
          <w:rFonts w:ascii="David" w:cs="David" w:eastAsia="David" w:hAnsi="David"/>
          <w:sz w:val="24"/>
          <w:szCs w:val="24"/>
          <w:u w:val="single"/>
          <w:rtl w:val="1"/>
        </w:rPr>
        <w:t xml:space="preserve">.</w:t>
      </w:r>
    </w:p>
    <w:p w:rsidR="00000000" w:rsidDel="00000000" w:rsidP="00000000" w:rsidRDefault="00000000" w:rsidRPr="00000000" w14:paraId="00000027">
      <w:pPr>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28">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רבי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עקיבא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איגר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מסכת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כריתות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דף</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יט</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עמוד</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w:t>
      </w:r>
    </w:p>
    <w:p w:rsidR="00000000" w:rsidDel="00000000" w:rsidP="00000000" w:rsidRDefault="00000000" w:rsidRPr="00000000" w14:paraId="00000029">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וראיתי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לידידי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rtl w:val="1"/>
        </w:rPr>
        <w:t xml:space="preserve">בעל</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חוות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דעת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בספרו</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מקור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חיים</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בסי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שחמץ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בביתו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אמאי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נקטו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הפוסקים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דחמץ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בביתו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ונדחק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לחלק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מעשה</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A">
      <w:pPr>
        <w:bidi w:val="1"/>
        <w:spacing w:line="240" w:lineRule="auto"/>
        <w:jc w:val="both"/>
        <w:rPr>
          <w:rFonts w:ascii="David" w:cs="David" w:eastAsia="David" w:hAnsi="David"/>
          <w:sz w:val="24"/>
          <w:szCs w:val="24"/>
          <w:u w:val="single"/>
        </w:rPr>
      </w:pPr>
      <w:r w:rsidDel="00000000" w:rsidR="00000000" w:rsidRPr="00000000">
        <w:rPr>
          <w:rFonts w:ascii="David" w:cs="David" w:eastAsia="David" w:hAnsi="David"/>
          <w:sz w:val="24"/>
          <w:szCs w:val="24"/>
          <w:u w:val="single"/>
          <w:rtl w:val="1"/>
        </w:rPr>
        <w:t xml:space="preserve">ולענ</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עיקר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מקרי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כ</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חייבה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חטאת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עליו</w:t>
      </w:r>
      <w:r w:rsidDel="00000000" w:rsidR="00000000" w:rsidRPr="00000000">
        <w:rPr>
          <w:rFonts w:ascii="David" w:cs="David" w:eastAsia="David" w:hAnsi="David"/>
          <w:sz w:val="24"/>
          <w:szCs w:val="24"/>
          <w:u w:val="single"/>
          <w:rtl w:val="1"/>
        </w:rPr>
        <w:t xml:space="preserve">.</w:t>
      </w:r>
    </w:p>
    <w:p w:rsidR="00000000" w:rsidDel="00000000" w:rsidP="00000000" w:rsidRDefault="00000000" w:rsidRPr="00000000" w14:paraId="0000002B">
      <w:pPr>
        <w:bidi w:val="1"/>
        <w:spacing w:line="240" w:lineRule="auto"/>
        <w:jc w:val="both"/>
        <w:rPr>
          <w:rFonts w:ascii="David" w:cs="David" w:eastAsia="David" w:hAnsi="David"/>
          <w:sz w:val="24"/>
          <w:szCs w:val="24"/>
          <w:u w:val="single"/>
        </w:rPr>
      </w:pPr>
      <w:r w:rsidDel="00000000" w:rsidR="00000000" w:rsidRPr="00000000">
        <w:rPr>
          <w:rFonts w:ascii="David" w:cs="David" w:eastAsia="David" w:hAnsi="David"/>
          <w:sz w:val="24"/>
          <w:szCs w:val="24"/>
          <w:rtl w:val="1"/>
        </w:rPr>
        <w:t xml:space="preserve">וחשבתי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להביא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ראיה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דאמרינן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ברכות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המוצא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בבגדו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פושטו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ופסקינן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רואהו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להגיד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בשוק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לפושטו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ואמאי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שבבגדו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כלאים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וליכא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דאורייתא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ומותר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כבוד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הבריות</w:t>
      </w:r>
      <w:r w:rsidDel="00000000" w:rsidR="00000000" w:rsidRPr="00000000">
        <w:rPr>
          <w:rFonts w:ascii="David" w:cs="David" w:eastAsia="David" w:hAnsi="David"/>
          <w:sz w:val="24"/>
          <w:szCs w:val="24"/>
          <w:rtl w:val="0"/>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כ</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כ</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איסור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דאורייתא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חייבה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קרבן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עליו</w:t>
      </w:r>
      <w:r w:rsidDel="00000000" w:rsidR="00000000" w:rsidRPr="00000000">
        <w:rPr>
          <w:rFonts w:ascii="David" w:cs="David" w:eastAsia="David" w:hAnsi="David"/>
          <w:sz w:val="24"/>
          <w:szCs w:val="24"/>
          <w:u w:val="single"/>
          <w:rtl w:val="1"/>
        </w:rPr>
        <w:t xml:space="preserve">.</w:t>
      </w:r>
    </w:p>
    <w:p w:rsidR="00000000" w:rsidDel="00000000" w:rsidP="00000000" w:rsidRDefault="00000000" w:rsidRPr="00000000" w14:paraId="0000002C">
      <w:pPr>
        <w:bidi w:val="1"/>
        <w:spacing w:line="240" w:lineRule="auto"/>
        <w:jc w:val="both"/>
        <w:rPr>
          <w:rFonts w:ascii="David" w:cs="David" w:eastAsia="David" w:hAnsi="David"/>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אמנם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לדחות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דכלאים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דהאיסור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חימום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חלבים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ועריות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העיקר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D">
      <w:pPr>
        <w:bidi w:val="1"/>
        <w:spacing w:line="240" w:lineRule="auto"/>
        <w:jc w:val="both"/>
        <w:rPr>
          <w:rFonts w:ascii="David" w:cs="David" w:eastAsia="David" w:hAnsi="David"/>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ולפי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מילי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דמקרי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ובכה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גזה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לפטרו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מחטאת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דמ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ידע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מהמחט</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b w:val="1"/>
          <w:sz w:val="24"/>
          <w:szCs w:val="24"/>
          <w:u w:val="single"/>
          <w:rtl w:val="1"/>
        </w:rPr>
        <w:t xml:space="preserve">לא</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מקרי</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מלאכת</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שבת</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נקטו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בדבריהם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נקטו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דמצד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מטעם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שפיר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כתבו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דלאביי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ניחא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דאסור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היינו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אמרו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לגופה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וכדומה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מהמחט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וממילא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דרבנן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ודו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E">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u w:val="single"/>
          <w:rtl w:val="1"/>
        </w:rPr>
        <w:t xml:space="preserve">ונפקא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מינה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עוד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לדינא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במה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דקיי</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דמצווה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שביתת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רואה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שרוצה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לקצור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תבואה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ממחובר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והעבד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אמר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שרוצה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לקצור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התלוש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והרב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ידע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מחובר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שייך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בזה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שביתת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דהא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העבד</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עושה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דחושב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תלוש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ואין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רבו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עובר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שביתת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שגגת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כיון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דהרב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ידע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מחובר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יש</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משום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שביתת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עבדו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דהא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מקרי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דנעשה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מחשבתו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לקוצרו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התוס</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שהבאנו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בתחלת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דברינו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שגגת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משום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שביתת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עבדו</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2F">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0">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שיעורים</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לזכר</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אבא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מרי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ז</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ל</w:t>
      </w:r>
      <w:r w:rsidDel="00000000" w:rsidR="00000000" w:rsidRPr="00000000">
        <w:rPr>
          <w:rFonts w:ascii="David" w:cs="David" w:eastAsia="David" w:hAnsi="David"/>
          <w:b w:val="1"/>
          <w:sz w:val="24"/>
          <w:szCs w:val="24"/>
          <w:rtl w:val="1"/>
        </w:rPr>
        <w:t xml:space="preserve"> - </w:t>
      </w:r>
      <w:r w:rsidDel="00000000" w:rsidR="00000000" w:rsidRPr="00000000">
        <w:rPr>
          <w:rFonts w:ascii="David" w:cs="David" w:eastAsia="David" w:hAnsi="David"/>
          <w:b w:val="1"/>
          <w:sz w:val="24"/>
          <w:szCs w:val="24"/>
          <w:rtl w:val="1"/>
        </w:rPr>
        <w:t xml:space="preserve">ענייני</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קריאת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שמע</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הערה</w:t>
      </w:r>
      <w:r w:rsidDel="00000000" w:rsidR="00000000" w:rsidRPr="00000000">
        <w:rPr>
          <w:rFonts w:ascii="David" w:cs="David" w:eastAsia="David" w:hAnsi="David"/>
          <w:b w:val="1"/>
          <w:sz w:val="24"/>
          <w:szCs w:val="24"/>
          <w:rtl w:val="1"/>
        </w:rPr>
        <w:t xml:space="preserve"> 58</w:t>
      </w:r>
    </w:p>
    <w:p w:rsidR="00000000" w:rsidDel="00000000" w:rsidP="00000000" w:rsidRDefault="00000000" w:rsidRPr="00000000" w14:paraId="00000031">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רבינו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הדגיש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פעמים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תלמידיו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ההלכה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באיסורין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נאמרה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קרבן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כדברי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אלא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בהפקעת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מעשה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העבירה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בכלל</w:t>
      </w:r>
      <w:r w:rsidDel="00000000" w:rsidR="00000000" w:rsidRPr="00000000">
        <w:rPr>
          <w:rFonts w:ascii="David" w:cs="David" w:eastAsia="David" w:hAnsi="David"/>
          <w:sz w:val="24"/>
          <w:szCs w:val="24"/>
          <w:rtl w:val="0"/>
        </w:rPr>
        <w:t xml:space="preserve">.</w:t>
      </w:r>
    </w:p>
    <w:p w:rsidR="00000000" w:rsidDel="00000000" w:rsidP="00000000" w:rsidRDefault="00000000" w:rsidRPr="00000000" w14:paraId="00000032">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3">
      <w:pPr>
        <w:bidi w:val="1"/>
        <w:spacing w:line="240" w:lineRule="auto"/>
        <w:jc w:val="both"/>
        <w:rPr>
          <w:rFonts w:ascii="David" w:cs="David" w:eastAsia="David" w:hAnsi="David"/>
          <w:b w:val="1"/>
          <w:sz w:val="24"/>
          <w:szCs w:val="24"/>
        </w:rPr>
      </w:pPr>
      <w:commentRangeStart w:id="0"/>
      <w:r w:rsidDel="00000000" w:rsidR="00000000" w:rsidRPr="00000000">
        <w:rPr>
          <w:rFonts w:ascii="David" w:cs="David" w:eastAsia="David" w:hAnsi="David"/>
          <w:b w:val="1"/>
          <w:sz w:val="24"/>
          <w:szCs w:val="24"/>
          <w:rtl w:val="1"/>
        </w:rPr>
        <w:t xml:space="preserve">משנה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ברורה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שסה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4">
      <w:pPr>
        <w:bidi w:val="1"/>
        <w:spacing w:line="240" w:lineRule="auto"/>
        <w:jc w:val="both"/>
        <w:rPr>
          <w:rFonts w:ascii="David" w:cs="David" w:eastAsia="David" w:hAnsi="David"/>
          <w:sz w:val="24"/>
          <w:szCs w:val="24"/>
        </w:rPr>
      </w:pPr>
      <w:r w:rsidDel="00000000" w:rsidR="00000000" w:rsidRPr="00000000">
        <w:rPr>
          <w:rtl w:val="0"/>
        </w:rPr>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אסורות</w:t>
      </w:r>
      <w:r w:rsidDel="00000000" w:rsidR="00000000" w:rsidRPr="00000000">
        <w:rPr>
          <w:rFonts w:ascii="David" w:cs="David" w:eastAsia="David" w:hAnsi="David"/>
          <w:sz w:val="24"/>
          <w:szCs w:val="24"/>
          <w:rtl w:val="1"/>
        </w:rPr>
        <w:t xml:space="preserve"> -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b w:val="1"/>
          <w:sz w:val="24"/>
          <w:szCs w:val="24"/>
          <w:u w:val="single"/>
          <w:rtl w:val="1"/>
        </w:rPr>
        <w:t xml:space="preserve">צריך</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b w:val="1"/>
          <w:sz w:val="24"/>
          <w:szCs w:val="24"/>
          <w:u w:val="single"/>
          <w:rtl w:val="1"/>
        </w:rPr>
        <w:t xml:space="preserve">להזהיר</w:t>
      </w:r>
      <w:r w:rsidDel="00000000" w:rsidR="00000000" w:rsidRPr="00000000">
        <w:rPr>
          <w:rFonts w:ascii="David" w:cs="David" w:eastAsia="David" w:hAnsi="David"/>
          <w:b w:val="1"/>
          <w:sz w:val="24"/>
          <w:szCs w:val="24"/>
          <w:u w:val="single"/>
          <w:rtl w:val="1"/>
        </w:rPr>
        <w:t xml:space="preserve"> </w:t>
      </w:r>
      <w:r w:rsidDel="00000000" w:rsidR="00000000" w:rsidRPr="00000000">
        <w:rPr>
          <w:rFonts w:ascii="David" w:cs="David" w:eastAsia="David" w:hAnsi="David"/>
          <w:sz w:val="24"/>
          <w:szCs w:val="24"/>
          <w:rtl w:val="1"/>
        </w:rPr>
        <w:t xml:space="preserve">במקומות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צוה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פ</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ונשבר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התיקון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ביהכ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שמונח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העירוב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נשבר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בחול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יטלטלו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המבואות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תיקון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אא</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כ</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שיכולין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להביא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העירוב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אצלן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מביהכ</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נ</w:t>
      </w:r>
      <w:r w:rsidDel="00000000" w:rsidR="00000000" w:rsidRPr="00000000">
        <w:rPr>
          <w:rFonts w:ascii="David" w:cs="David" w:eastAsia="David" w:hAnsi="David"/>
          <w:sz w:val="24"/>
          <w:szCs w:val="24"/>
          <w:rtl w:val="1"/>
        </w:rPr>
        <w:t xml:space="preserve">.</w:t>
      </w:r>
    </w:p>
    <w:p w:rsidR="00000000" w:rsidDel="00000000" w:rsidP="00000000" w:rsidRDefault="00000000" w:rsidRPr="00000000" w14:paraId="00000035">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6">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מנחת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שלמה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p>
    <w:p w:rsidR="00000000" w:rsidDel="00000000" w:rsidP="00000000" w:rsidRDefault="00000000" w:rsidRPr="00000000" w14:paraId="00000037">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דהתינח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כוונת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מצוה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שקורא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באופן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שבמקצתם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טרוד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במחשבותיו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מרגיש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שהשפתיים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נעות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והפה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ממשיך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בק</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ובתפלה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עדיין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לכאו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נראה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גרע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טפי</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וכמו</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שחיטה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כוונה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חשיב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כחסרון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בכח</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גברא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וגרע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טפי</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לענין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דבעינן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מלאכת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מחשבת</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לאו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כלום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הוא</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חשיב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כאילו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קרא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קריאת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אותה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ברכה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שנתכוין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בתחלה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למצוה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דלגבי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הקריאה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לחושבו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בההיא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שעתא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כהגיע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לשכרותו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לוט</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הואיל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מדבר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וכאילו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דילג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לגמרי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פסוק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ועי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בחדושי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רבנו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חיים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הלוי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בפ</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שכתב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דצריך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אדם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לכוין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בתפלתו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רואה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עצמו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עומד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ומתפלל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תפלה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הוא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וכאילו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דילג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לגמרי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אלה</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38">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9">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שו</w:t>
      </w:r>
      <w:r w:rsidDel="00000000" w:rsidR="00000000" w:rsidRPr="00000000">
        <w:rPr>
          <w:rFonts w:ascii="David" w:cs="David" w:eastAsia="David" w:hAnsi="David"/>
          <w:b w:val="1"/>
          <w:sz w:val="24"/>
          <w:szCs w:val="24"/>
          <w:rtl w:val="1"/>
        </w:rPr>
        <w:t xml:space="preserve">"</w:t>
      </w:r>
      <w:r w:rsidDel="00000000" w:rsidR="00000000" w:rsidRPr="00000000">
        <w:rPr>
          <w:rFonts w:ascii="David" w:cs="David" w:eastAsia="David" w:hAnsi="David"/>
          <w:b w:val="1"/>
          <w:sz w:val="24"/>
          <w:szCs w:val="24"/>
          <w:rtl w:val="1"/>
        </w:rPr>
        <w:t xml:space="preserve">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מנחת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שלמה</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חלק</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סימן</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צא</w:t>
      </w:r>
    </w:p>
    <w:p w:rsidR="00000000" w:rsidDel="00000000" w:rsidP="00000000" w:rsidRDefault="00000000" w:rsidRPr="00000000" w14:paraId="0000003A">
      <w:pPr>
        <w:bidi w:val="1"/>
        <w:spacing w:line="240" w:lineRule="auto"/>
        <w:jc w:val="both"/>
        <w:rPr>
          <w:rFonts w:ascii="David" w:cs="David" w:eastAsia="David" w:hAnsi="David"/>
          <w:sz w:val="24"/>
          <w:szCs w:val="24"/>
        </w:rPr>
      </w:pPr>
      <w:r w:rsidDel="00000000" w:rsidR="00000000" w:rsidRPr="00000000">
        <w:rPr>
          <w:rFonts w:ascii="David" w:cs="David" w:eastAsia="David" w:hAnsi="David"/>
          <w:sz w:val="24"/>
          <w:szCs w:val="24"/>
          <w:rtl w:val="1"/>
        </w:rPr>
        <w:t xml:space="preserve">ברם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מותר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לפתוח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שאינו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יודע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כלל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מהנורה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דחשיב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בכה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ג</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כפס</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שתיעשה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מלאכה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דחשיב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כמתעסק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בעלמא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u w:val="single"/>
          <w:rtl w:val="1"/>
        </w:rPr>
        <w:t xml:space="preserve">ואף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שהרעק</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מחמיר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גם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לחושבו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אבל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בפס</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דלא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ניחא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לי</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וגם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בדרך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אפשר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דשרי</w:t>
      </w:r>
      <w:r w:rsidDel="00000000" w:rsidR="00000000" w:rsidRPr="00000000">
        <w:rPr>
          <w:rFonts w:ascii="David" w:cs="David" w:eastAsia="David" w:hAnsi="David"/>
          <w:sz w:val="24"/>
          <w:szCs w:val="24"/>
          <w:rtl w:val="0"/>
        </w:rPr>
        <w:t xml:space="preserve">.</w:t>
      </w:r>
      <w:r w:rsidDel="00000000" w:rsidR="00000000" w:rsidRPr="00000000">
        <w:rPr>
          <w:rtl w:val="0"/>
        </w:rPr>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מסופקני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דאפשר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כיון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שבאופן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קבוע</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ומתוכנן</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נדלקת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הנורה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פתיחה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ונכבית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סגירה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ורק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בדרך</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זו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רגילים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תמיד</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להדליק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ולכבות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אפשר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דחשיב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כעושה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בידים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והפותח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מקרר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אף</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שעיקר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כוונתו</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לפתוח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הדלת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מ</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לדינא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ה</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ז</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חשיב</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כעושה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בבת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אחת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שתי</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פעולות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פותח</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דלת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וגם</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לוחץ</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ממש</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על</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כפתור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שמדליק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נורה</w:t>
      </w:r>
      <w:r w:rsidDel="00000000" w:rsidR="00000000" w:rsidRPr="00000000">
        <w:rPr>
          <w:rFonts w:ascii="David" w:cs="David" w:eastAsia="David" w:hAnsi="David"/>
          <w:sz w:val="24"/>
          <w:szCs w:val="24"/>
          <w:rtl w:val="1"/>
        </w:rPr>
        <w:t xml:space="preserve">,</w:t>
      </w:r>
      <w:r w:rsidDel="00000000" w:rsidR="00000000" w:rsidRPr="00000000">
        <w:rPr>
          <w:rtl w:val="0"/>
        </w:rPr>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ולכן</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אף</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הפותח</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אינו</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יודע</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כלל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שהוא</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מדליק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נורה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מ</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אפשר</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דהו</w:t>
      </w:r>
      <w:r w:rsidDel="00000000" w:rsidR="00000000" w:rsidRPr="00000000">
        <w:rPr>
          <w:rFonts w:ascii="David" w:cs="David" w:eastAsia="David" w:hAnsi="David"/>
          <w:sz w:val="24"/>
          <w:szCs w:val="24"/>
          <w:u w:val="single"/>
          <w:rtl w:val="1"/>
        </w:rPr>
        <w:t xml:space="preserve">"</w:t>
      </w:r>
      <w:r w:rsidDel="00000000" w:rsidR="00000000" w:rsidRPr="00000000">
        <w:rPr>
          <w:rFonts w:ascii="David" w:cs="David" w:eastAsia="David" w:hAnsi="David"/>
          <w:sz w:val="24"/>
          <w:szCs w:val="24"/>
          <w:u w:val="single"/>
          <w:rtl w:val="1"/>
        </w:rPr>
        <w:t xml:space="preserve">ל</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כמדליק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בידים</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דרך</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מתעסק</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דחשיב</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כעושה</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u w:val="single"/>
          <w:rtl w:val="1"/>
        </w:rPr>
        <w:t xml:space="preserve">בשוגג</w:t>
      </w:r>
      <w:r w:rsidDel="00000000" w:rsidR="00000000" w:rsidRPr="00000000">
        <w:rPr>
          <w:rFonts w:ascii="David" w:cs="David" w:eastAsia="David" w:hAnsi="David"/>
          <w:sz w:val="24"/>
          <w:szCs w:val="24"/>
          <w:u w:val="single"/>
          <w:rtl w:val="1"/>
        </w:rPr>
        <w:t xml:space="preserve"> </w:t>
      </w:r>
      <w:r w:rsidDel="00000000" w:rsidR="00000000" w:rsidRPr="00000000">
        <w:rPr>
          <w:rFonts w:ascii="David" w:cs="David" w:eastAsia="David" w:hAnsi="David"/>
          <w:sz w:val="24"/>
          <w:szCs w:val="24"/>
          <w:rtl w:val="1"/>
        </w:rPr>
        <w:t xml:space="preserve">כזה</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שפטור</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מחטאת</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ולא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כפסיק</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רישא</w:t>
      </w:r>
      <w:r w:rsidDel="00000000" w:rsidR="00000000" w:rsidRPr="00000000">
        <w:rPr>
          <w:rFonts w:ascii="David" w:cs="David" w:eastAsia="David" w:hAnsi="David"/>
          <w:sz w:val="24"/>
          <w:szCs w:val="24"/>
          <w:rtl w:val="1"/>
        </w:rPr>
        <w:t xml:space="preserve"> </w:t>
      </w:r>
      <w:r w:rsidDel="00000000" w:rsidR="00000000" w:rsidRPr="00000000">
        <w:rPr>
          <w:rFonts w:ascii="David" w:cs="David" w:eastAsia="David" w:hAnsi="David"/>
          <w:sz w:val="24"/>
          <w:szCs w:val="24"/>
          <w:rtl w:val="1"/>
        </w:rPr>
        <w:t xml:space="preserve">וצ</w:t>
      </w:r>
      <w:r w:rsidDel="00000000" w:rsidR="00000000" w:rsidRPr="00000000">
        <w:rPr>
          <w:rFonts w:ascii="David" w:cs="David" w:eastAsia="David" w:hAnsi="David"/>
          <w:sz w:val="24"/>
          <w:szCs w:val="24"/>
          <w:rtl w:val="1"/>
        </w:rPr>
        <w:t xml:space="preserve">"</w:t>
      </w:r>
      <w:r w:rsidDel="00000000" w:rsidR="00000000" w:rsidRPr="00000000">
        <w:rPr>
          <w:rFonts w:ascii="David" w:cs="David" w:eastAsia="David" w:hAnsi="David"/>
          <w:sz w:val="24"/>
          <w:szCs w:val="24"/>
          <w:rtl w:val="1"/>
        </w:rPr>
        <w:t xml:space="preserve">ע</w:t>
      </w:r>
      <w:r w:rsidDel="00000000" w:rsidR="00000000" w:rsidRPr="00000000">
        <w:rPr>
          <w:rFonts w:ascii="David" w:cs="David" w:eastAsia="David" w:hAnsi="David"/>
          <w:sz w:val="24"/>
          <w:szCs w:val="24"/>
          <w:rtl w:val="1"/>
        </w:rPr>
        <w:t xml:space="preserve">. </w:t>
      </w:r>
    </w:p>
    <w:p w:rsidR="00000000" w:rsidDel="00000000" w:rsidP="00000000" w:rsidRDefault="00000000" w:rsidRPr="00000000" w14:paraId="0000003B">
      <w:pPr>
        <w:bidi w:val="1"/>
        <w:spacing w:line="240" w:lineRule="auto"/>
        <w:jc w:val="both"/>
        <w:rPr>
          <w:rFonts w:ascii="David" w:cs="David" w:eastAsia="David" w:hAnsi="David"/>
          <w:sz w:val="24"/>
          <w:szCs w:val="24"/>
        </w:rPr>
      </w:pPr>
      <w:r w:rsidDel="00000000" w:rsidR="00000000" w:rsidRPr="00000000">
        <w:rPr>
          <w:rtl w:val="0"/>
        </w:rPr>
      </w:r>
    </w:p>
    <w:p w:rsidR="00000000" w:rsidDel="00000000" w:rsidP="00000000" w:rsidRDefault="00000000" w:rsidRPr="00000000" w14:paraId="0000003C">
      <w:pPr>
        <w:bidi w:val="1"/>
        <w:spacing w:line="240" w:lineRule="auto"/>
        <w:jc w:val="both"/>
        <w:rPr>
          <w:rFonts w:ascii="David" w:cs="David" w:eastAsia="David" w:hAnsi="David"/>
          <w:b w:val="1"/>
          <w:sz w:val="24"/>
          <w:szCs w:val="24"/>
        </w:rPr>
      </w:pPr>
      <w:r w:rsidDel="00000000" w:rsidR="00000000" w:rsidRPr="00000000">
        <w:rPr>
          <w:rFonts w:ascii="David" w:cs="David" w:eastAsia="David" w:hAnsi="David"/>
          <w:b w:val="1"/>
          <w:sz w:val="24"/>
          <w:szCs w:val="24"/>
          <w:rtl w:val="1"/>
        </w:rPr>
        <w:t xml:space="preserve">ברכת</w:t>
      </w:r>
      <w:r w:rsidDel="00000000" w:rsidR="00000000" w:rsidRPr="00000000">
        <w:rPr>
          <w:rFonts w:ascii="David" w:cs="David" w:eastAsia="David" w:hAnsi="David"/>
          <w:b w:val="1"/>
          <w:sz w:val="24"/>
          <w:szCs w:val="24"/>
          <w:rtl w:val="1"/>
        </w:rPr>
        <w:t xml:space="preserve"> </w:t>
      </w:r>
      <w:r w:rsidDel="00000000" w:rsidR="00000000" w:rsidRPr="00000000">
        <w:rPr>
          <w:rFonts w:ascii="David" w:cs="David" w:eastAsia="David" w:hAnsi="David"/>
          <w:b w:val="1"/>
          <w:sz w:val="24"/>
          <w:szCs w:val="24"/>
          <w:rtl w:val="1"/>
        </w:rPr>
        <w:t xml:space="preserve">אברהם</w:t>
      </w:r>
    </w:p>
    <w:p w:rsidR="00000000" w:rsidDel="00000000" w:rsidP="00000000" w:rsidRDefault="00000000" w:rsidRPr="00000000" w14:paraId="0000003D">
      <w:pPr>
        <w:bidi w:val="1"/>
        <w:spacing w:line="240" w:lineRule="auto"/>
        <w:jc w:val="both"/>
        <w:rPr>
          <w:rFonts w:ascii="David" w:cs="David" w:eastAsia="David" w:hAnsi="David"/>
        </w:rPr>
      </w:pPr>
      <w:r w:rsidDel="00000000" w:rsidR="00000000" w:rsidRPr="00000000">
        <w:rPr>
          <w:rFonts w:ascii="David" w:cs="David" w:eastAsia="David" w:hAnsi="David"/>
        </w:rPr>
        <w:drawing>
          <wp:inline distB="114300" distT="114300" distL="114300" distR="114300">
            <wp:extent cx="3249168" cy="117157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249168"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3F">
      <w:pPr>
        <w:bidi w:val="1"/>
        <w:spacing w:line="240" w:lineRule="auto"/>
        <w:jc w:val="both"/>
        <w:rPr>
          <w:rFonts w:ascii="David" w:cs="David" w:eastAsia="David" w:hAnsi="David"/>
          <w:b w:val="1"/>
        </w:rPr>
      </w:pPr>
      <w:r w:rsidDel="00000000" w:rsidR="00000000" w:rsidRPr="00000000">
        <w:rPr>
          <w:rFonts w:ascii="David" w:cs="David" w:eastAsia="David" w:hAnsi="David"/>
          <w:b w:val="1"/>
          <w:rtl w:val="1"/>
        </w:rPr>
        <w:t xml:space="preserve">קובץ</w:t>
      </w:r>
      <w:r w:rsidDel="00000000" w:rsidR="00000000" w:rsidRPr="00000000">
        <w:rPr>
          <w:rFonts w:ascii="David" w:cs="David" w:eastAsia="David" w:hAnsi="David"/>
          <w:b w:val="1"/>
          <w:rtl w:val="1"/>
        </w:rPr>
        <w:t xml:space="preserve"> </w:t>
      </w:r>
      <w:r w:rsidDel="00000000" w:rsidR="00000000" w:rsidRPr="00000000">
        <w:rPr>
          <w:rFonts w:ascii="David" w:cs="David" w:eastAsia="David" w:hAnsi="David"/>
          <w:b w:val="1"/>
          <w:rtl w:val="1"/>
        </w:rPr>
        <w:t xml:space="preserve">שיעורים</w:t>
      </w:r>
    </w:p>
    <w:tbl>
      <w:tblPr>
        <w:tblStyle w:val="Table1"/>
        <w:bidiVisual w:val="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14:paraId="00000040">
            <w:pPr>
              <w:bidi w:val="1"/>
              <w:spacing w:line="240" w:lineRule="auto"/>
              <w:jc w:val="both"/>
              <w:rPr>
                <w:rFonts w:ascii="David" w:cs="David" w:eastAsia="David" w:hAnsi="David"/>
              </w:rPr>
            </w:pPr>
            <w:r w:rsidDel="00000000" w:rsidR="00000000" w:rsidRPr="00000000">
              <w:rPr>
                <w:rFonts w:ascii="David" w:cs="David" w:eastAsia="David" w:hAnsi="David"/>
              </w:rPr>
              <w:drawing>
                <wp:inline distB="0" distT="0" distL="0" distR="0">
                  <wp:extent cx="2562225" cy="391477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62225" cy="39147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1">
            <w:pPr>
              <w:bidi w:val="1"/>
              <w:spacing w:line="240" w:lineRule="auto"/>
              <w:jc w:val="both"/>
              <w:rPr>
                <w:rFonts w:ascii="David" w:cs="David" w:eastAsia="David" w:hAnsi="David"/>
              </w:rPr>
            </w:pPr>
            <w:r w:rsidDel="00000000" w:rsidR="00000000" w:rsidRPr="00000000">
              <w:rPr>
                <w:rFonts w:ascii="David" w:cs="David" w:eastAsia="David" w:hAnsi="David"/>
              </w:rPr>
              <w:drawing>
                <wp:inline distB="0" distT="0" distL="0" distR="0">
                  <wp:extent cx="2619375" cy="2990850"/>
                  <wp:effectExtent b="0" l="0" r="0" t="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19375"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bidi w:val="1"/>
              <w:spacing w:line="240" w:lineRule="auto"/>
              <w:jc w:val="both"/>
              <w:rPr>
                <w:rFonts w:ascii="David" w:cs="David" w:eastAsia="David" w:hAnsi="David"/>
              </w:rPr>
            </w:pPr>
            <w:r w:rsidDel="00000000" w:rsidR="00000000" w:rsidRPr="00000000">
              <w:rPr>
                <w:rtl w:val="0"/>
              </w:rPr>
            </w:r>
          </w:p>
        </w:tc>
      </w:tr>
    </w:tbl>
    <w:p w:rsidR="00000000" w:rsidDel="00000000" w:rsidP="00000000" w:rsidRDefault="00000000" w:rsidRPr="00000000" w14:paraId="00000043">
      <w:pPr>
        <w:bidi w:val="1"/>
        <w:spacing w:line="240" w:lineRule="auto"/>
        <w:jc w:val="both"/>
        <w:rPr>
          <w:rFonts w:ascii="David" w:cs="David" w:eastAsia="David" w:hAnsi="David"/>
        </w:rPr>
      </w:pPr>
      <w:r w:rsidDel="00000000" w:rsidR="00000000" w:rsidRPr="00000000">
        <w:rPr>
          <w:rtl w:val="0"/>
        </w:rPr>
      </w:r>
    </w:p>
    <w:p w:rsidR="00000000" w:rsidDel="00000000" w:rsidP="00000000" w:rsidRDefault="00000000" w:rsidRPr="00000000" w14:paraId="00000044">
      <w:pPr>
        <w:bidi w:val="1"/>
        <w:jc w:val="both"/>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 Schreiber" w:id="0" w:date="2020-05-18T13:36:02Z">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https://www.etzion.org.il/en/issur-melakha-and-shabbat-day-rest-part-7</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Ha-rav Aharon Lichtenstein once suggested that even if the normative ruling was that mitasek committed no violation, against R. Akiva Eiger, it is possible that one should still prevent its occurrence on Shabbat in the context of Torah-proscribed melakhot.  This would be true because actions of melakha, prohibited by their very nature of being melakha, may cause chillul (profanation) of the sanctity of Shabbat even when they do not conform to melekhet machshevet.  See shiur No.1: Introduction.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Therefore, it would seem that one is not obligated by halakha to take advance precautions such as covering light switches, to prevent mitasek (aside from the precautions cited above), since the cases above seem to be preventing a situation of shogeg, not mitasek.  Furthermore, even were we to interpret that they are precautions against mitasek, we are not empowered to form new gezeirot. (See Responsa Maharam Schick oc no.157).  Nonetheless, it is an excellent idea to cover light switches, since it can prevent possible shogeg or mitasek violations (according to R. Akiva Eiger) or any chillul shabbat...</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take another case, must one warn others not to open a refrigerator whose light has not been disabled?  Similarly, must one warn others that there is a motion detector which will turn on a light, or a video camera which will record their image, or a tape recorder which will record their voice, in the vicinity? Based upon the above, it would seem that one should issue a warning in such circumstances.  Yet there may be room to distinguish, inasmuch as these cases are acts of mitasek performed through a pesik reisha, an act with an inevitable consequence of melakha, rather than a direct melakha.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avi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