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jc w:val="both"/>
        <w:rPr/>
      </w:pPr>
      <w:bookmarkStart w:colFirst="0" w:colLast="0" w:name="_axcft68x2qqv" w:id="0"/>
      <w:bookmarkEnd w:id="0"/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וחשיבות</w:t>
      </w:r>
    </w:p>
    <w:p w:rsidR="00000000" w:rsidDel="00000000" w:rsidP="00000000" w:rsidRDefault="00000000" w:rsidRPr="00000000" w14:paraId="00000002">
      <w:pPr>
        <w:pStyle w:val="Heading2"/>
        <w:bidi w:val="1"/>
        <w:spacing w:line="240" w:lineRule="auto"/>
        <w:jc w:val="both"/>
        <w:rPr/>
      </w:pPr>
      <w:bookmarkStart w:colFirst="0" w:colLast="0" w:name="_u04z5bnasm3q" w:id="1"/>
      <w:bookmarkEnd w:id="1"/>
      <w:r w:rsidDel="00000000" w:rsidR="00000000" w:rsidRPr="00000000">
        <w:rPr>
          <w:rtl w:val="1"/>
        </w:rPr>
        <w:t xml:space="preserve">נתגלה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לכסותו</w:t>
      </w:r>
    </w:p>
    <w:p w:rsidR="00000000" w:rsidDel="00000000" w:rsidP="00000000" w:rsidRDefault="00000000" w:rsidRPr="00000000" w14:paraId="00000003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04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לטמון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commentRangeStart w:id="0"/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לטמון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הצונן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מוסיף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יצטנן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שתפוג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צנתן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  <w:commentRangeStart w:id="1"/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שטמנן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ונתגלו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לכסותן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מוסיף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להחליף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הכיסוי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נוטל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כסות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כנפי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נוטל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כנפי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הכסות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מיימוניות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נתגלה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לכסותו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משתחשך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נתגלה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יגלהו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לכסותו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שתחשך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התרומה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כשנתגלה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משחשיכה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דגרס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נתגלה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מכסהו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משחשיכה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מכסהו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משחשיכה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*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לגלותו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ולחזור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ולכסותו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ליטלו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במקומו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ובלבד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שנתבשלה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הקדרה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]: </w:t>
      </w:r>
    </w:p>
    <w:p w:rsidR="00000000" w:rsidDel="00000000" w:rsidP="00000000" w:rsidRDefault="00000000" w:rsidRPr="00000000" w14:paraId="00000007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רנז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09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טומנין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מוסיף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ונתגלה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משחשיכה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לחזור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ולכסותו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מוסיף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ליטלו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במקומו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מכוסה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ליטלו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לכסותו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בגלופקרין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שנתבשלה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הקדירה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מבושלת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הכיסוי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שתוספת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גורם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להתבשל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רנז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</w:t>
      </w:r>
    </w:p>
    <w:p w:rsidR="00000000" w:rsidDel="00000000" w:rsidP="00000000" w:rsidRDefault="00000000" w:rsidRPr="00000000" w14:paraId="0000000C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טומנין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מוסיף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ונתגלה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משחשיכה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ולכסותו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לגלותו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ולכסותו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כסהו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נתגלה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לכסותו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משתחשך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דזהו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כמטמין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מהתוס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מבואר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דדווקא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מבעוד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לכסותו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משתחשך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כשנתגלה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מעצמה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בספרו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הכריע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מהירושלמי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נתגלתה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מעצמה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חילוק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כשגילה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לחזור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ולכסותו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לכסותו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חילקו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הפוסקים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האופן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להשוות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המחלוקת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בנתגלתה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מעצמה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לכסות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נתיישב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לכסות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לכסות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]: </w:t>
      </w:r>
    </w:p>
    <w:p w:rsidR="00000000" w:rsidDel="00000000" w:rsidP="00000000" w:rsidRDefault="00000000" w:rsidRPr="00000000" w14:paraId="0000000D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רנז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כה</w:t>
      </w:r>
    </w:p>
    <w:p w:rsidR="00000000" w:rsidDel="00000000" w:rsidP="00000000" w:rsidRDefault="00000000" w:rsidRPr="00000000" w14:paraId="0000000F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ונתגלה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משחשיכה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ונתגלה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בסמוך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שנתגלה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ממילא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משחשיכה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נתגלה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לכסותו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כמטמין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גילהו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לכסותו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משתחשך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לכסותו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10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שער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הציון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רנז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כד</w:t>
      </w:r>
    </w:p>
    <w:p w:rsidR="00000000" w:rsidDel="00000000" w:rsidP="00000000" w:rsidRDefault="00000000" w:rsidRPr="00000000" w14:paraId="00000012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מצדד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סתמתי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השולחן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כהראשונים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המחמירים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שבירושלמי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מפורש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בהדיא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הגר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בביאורו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השולחן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שטים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והגר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במאירי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מצאתי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]: </w:t>
      </w:r>
    </w:p>
    <w:p w:rsidR="00000000" w:rsidDel="00000000" w:rsidP="00000000" w:rsidRDefault="00000000" w:rsidRPr="00000000" w14:paraId="00000013">
      <w:pPr>
        <w:pStyle w:val="Heading2"/>
        <w:bidi w:val="1"/>
        <w:spacing w:line="240" w:lineRule="auto"/>
        <w:jc w:val="both"/>
        <w:rPr/>
      </w:pPr>
      <w:bookmarkStart w:colFirst="0" w:colLast="0" w:name="_wg95ohg7md3t" w:id="2"/>
      <w:bookmarkEnd w:id="2"/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</w:p>
    <w:p w:rsidR="00000000" w:rsidDel="00000000" w:rsidP="00000000" w:rsidRDefault="00000000" w:rsidRPr="00000000" w14:paraId="00000014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קרבן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נתנאל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15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מיישב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שהקפיד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שתרווייהו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כרבוותא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16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commentRangeStart w:id="2"/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קנב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קנב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B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השמיטו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ודחק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ליישב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לדעתם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הוצרכו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לכותבו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דמלתא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דפשיטא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ירחיק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כתבו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והמחבר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מזיגת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באשתו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1C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קנב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1E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שיזהר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חסידותו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השמיטו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חסידות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הזכירוהו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ותמיהני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דוכתי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הזכירו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חילוק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והמדקדק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הגמרא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חסידות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נגעו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כאן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ולבתר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איקלע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ושמעיה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דאודי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ופירש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אכיל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יצחק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דשמח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בחסידות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תליא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מלתא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ששמח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העובד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וזהו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מסתמא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חשוב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דהשמיטו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דחזינן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מהעובד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לאליל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בבירור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התלמוד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ואירע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טהור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מסתמא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חיישינן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שהעובד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אומדן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רנז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21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להטמין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מוסיף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יצטנן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שתפיג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צינתו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המוסיף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להטמין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2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להטמין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3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תוספת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סבר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25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תשב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ץ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פט</w:t>
      </w:r>
    </w:p>
    <w:p w:rsidR="00000000" w:rsidDel="00000000" w:rsidP="00000000" w:rsidRDefault="00000000" w:rsidRPr="00000000" w14:paraId="00000027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מתיקה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שעושין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מהסול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הנבחר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והדבש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זלאב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שהגידו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נוהגין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מיחו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חכמי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8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שנוהגים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וברצון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חכמיהם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למיחש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דובשא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שהסלת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בישולי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מותרים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לגמרי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מלאני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דאשכחן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טומנין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נחמן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עבדיה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אטמין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דאחי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קפילא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ארמאה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ואקפיד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איקפיד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נשיאה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ואיקפד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שהפך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להתרחק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ממעשיהם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ומחקותיהם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נאכלין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תענוג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ויקל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ויחמיר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9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15"/>
        <w:gridCol w:w="5445"/>
        <w:tblGridChange w:id="0">
          <w:tblGrid>
            <w:gridCol w:w="3915"/>
            <w:gridCol w:w="5445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רש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מסכת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בבא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מציעא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סז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2B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וצורבא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מדרבנן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שצריך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לישר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דרכיו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ולהתקדש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במותר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ילמדו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ממנו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לזלזל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באיסורין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אפילו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בנכייתא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נמי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ניכול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C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חידושי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הריטב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שבת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נא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E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אדם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חשוב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שאני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פירוש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שיש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להחמיר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[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לפנים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]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משורת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הדין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בדבר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שנראה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לבני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אדם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שיש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איסור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כדי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יבא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הרואה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להקל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יותר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כלל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גדול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F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חידושי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הריטב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מועד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קטן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יב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31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אפקריה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ינאי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לפרדיסיה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שקנס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עצמו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בכך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לחומרא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אמרינן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בירושלמי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ילפי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מקלקלתא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ילפי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מתקנתא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כלומר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בני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אדם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קרובים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ללמוד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מן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הדברים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המקולקלים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יותר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מן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הדברים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ההגונים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והמתוקנין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ולכך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יש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לו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לאדם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חשוב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ליזהר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במעשיו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מאד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2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רש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מסכת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מועד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קטן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דף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יב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עמוד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ב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אדם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חשוב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שאני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למיעבד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הכי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אפילו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יאכל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רש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מסכת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מועד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קטן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דף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יב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עמוד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ב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אדם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חשוב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שאני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להחמיר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עצמו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יותר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למיפק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בחומרתא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דמדושא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למישתי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דאחים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קפילא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נכרי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אלעזר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לנדא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אמנם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במו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פירש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אהך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עובדא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גופא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דאדם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חשוב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להחמיר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עצמו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משמע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אפ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חשש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רואים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רמב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הלכות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דעות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ֶׁ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יצ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ֶׁ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צ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ֲ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רו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ְׁ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פ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רו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ַ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ס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זו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ֹ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ֲ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ס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ידו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ְׁ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ֶׁ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ְׁ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ׁ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ֶׁ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ׁ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ֶׁ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פ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ּׁ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צ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ֻ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ט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ָׁ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ֶׁ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ֱ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דברים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) 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ָּ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":</w:t>
            </w:r>
          </w:p>
        </w:tc>
      </w:tr>
    </w:tbl>
    <w:p w:rsidR="00000000" w:rsidDel="00000000" w:rsidP="00000000" w:rsidRDefault="00000000" w:rsidRPr="00000000" w14:paraId="00000040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אגרות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צו</w:t>
      </w:r>
    </w:p>
    <w:p w:rsidR="00000000" w:rsidDel="00000000" w:rsidP="00000000" w:rsidRDefault="00000000" w:rsidRPr="00000000" w14:paraId="00000042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נסיעה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במכונית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הדלקת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לביהמ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סמוך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מינוטין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מעצגער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3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נהנתי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מאד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נזדרז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לקיים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תוכחה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דעתו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ותשואות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להקפיד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נדר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אסע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משעת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הדלקת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הנרות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בקאר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שמץ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מראית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4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מראית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מראית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מפורסם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שיטעו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ועובדא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שידוע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מקבלות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בהדלקת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מקבלים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בתוספת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הדלקת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קבעו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בעשרים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מינוטין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השקיעה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וברוב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המקומות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מפורסם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שהאנשים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במלאכה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מינוט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יקבלו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45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כותב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קלקול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לאיזו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שידמו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זלזול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ליסע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בקאר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הדלקת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pStyle w:val="Heading2"/>
        <w:bidi w:val="1"/>
        <w:rPr/>
      </w:pPr>
      <w:bookmarkStart w:colFirst="0" w:colLast="0" w:name="_wj749e68cacz" w:id="3"/>
      <w:bookmarkEnd w:id="3"/>
      <w:r w:rsidDel="00000000" w:rsidR="00000000" w:rsidRPr="00000000">
        <w:rPr>
          <w:rtl w:val="1"/>
        </w:rPr>
        <w:t xml:space="preserve">שלג</w:t>
      </w:r>
    </w:p>
    <w:p w:rsidR="00000000" w:rsidDel="00000000" w:rsidP="00000000" w:rsidRDefault="00000000" w:rsidRPr="00000000" w14:paraId="00000047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עיין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כאן</w:t>
      </w:r>
    </w:p>
    <w:p w:rsidR="00000000" w:rsidDel="00000000" w:rsidP="00000000" w:rsidRDefault="00000000" w:rsidRPr="00000000" w14:paraId="00000048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ביצה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4A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דקמוליד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ריחא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שנכנס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בחרס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מדרבנן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שהמוליד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מלאכה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חדשה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הרשב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4D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מרסקין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השלג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הברד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מוליד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ודמיא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למלאכה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שנמוח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מאיליו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מוליד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נולד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מלאכה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כבורא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ומוליד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הללו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בספר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התרומה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נולד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פנאדה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שמנוניתן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המדורה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דמעיקרא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וקפוי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ועכשיו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צלול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נולד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בחמה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נולד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מחוור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נולד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ואסור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סחיטה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נינהו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סוחטין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ורימונים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מעצמן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לאוכלין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'),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מלאכה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גזירת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סחיטה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דפירות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העומדין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למשקין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נגעו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שהברד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והשלג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למימיהן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עומדין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כסוחט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כפירות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סחיטה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נינהו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והתירו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וכדתני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בתוספתא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הקערה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וטעמא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דמילתא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שנקרש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יודעין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ושמימיו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נסחטין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מתחלתן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סופן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שנקרשו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ולפיכך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לסוחטן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הקערה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שהחמירו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לסחטן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ולרסקן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עצמן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F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יג</w:t>
      </w:r>
    </w:p>
    <w:p w:rsidR="00000000" w:rsidDel="00000000" w:rsidP="00000000" w:rsidRDefault="00000000" w:rsidRPr="00000000" w14:paraId="00000051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ושלקות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שסחטן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גופן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מימיהן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מרסקין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השלג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שיזובו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מימיו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הקערה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52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מגיד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שיזובו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מימיו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גזירת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סחיטת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העומדים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למשקים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נגעו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שהביאה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הסחיטה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ומדבריהם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למדנו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נולד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שמנינותה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המדורה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נולד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53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שכ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056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השלג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והברד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מרסקין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לשברם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לחתיכות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שיזובו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מימיו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נימוח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חושש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הניחם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המדורה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ונפשרו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7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שכ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לב</w:t>
      </w:r>
    </w:p>
    <w:p w:rsidR="00000000" w:rsidDel="00000000" w:rsidP="00000000" w:rsidRDefault="00000000" w:rsidRPr="00000000" w14:paraId="00000059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לחתיכות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חתיכה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יזובו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נתכוין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לאיבוד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]: </w:t>
      </w:r>
    </w:p>
    <w:p w:rsidR="00000000" w:rsidDel="00000000" w:rsidP="00000000" w:rsidRDefault="00000000" w:rsidRPr="00000000" w14:paraId="0000005A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שכ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לה</w:t>
      </w:r>
    </w:p>
    <w:p w:rsidR="00000000" w:rsidDel="00000000" w:rsidP="00000000" w:rsidRDefault="00000000" w:rsidRPr="00000000" w14:paraId="0000005C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שממילא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נימוח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דנימוח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נולד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מעורב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5D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5F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החלקת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יעקב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והמנחת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באריכות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במקפיא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שיגלידו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יתקלקל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והביאו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מסוגייתנו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שהביא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מחלוקת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התרומה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מרסקין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וברד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נולד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הנושרין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בעודן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קרושים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מלאכה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דדמי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בשולחן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שיטים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בפטיש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הקרח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להפשיר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לכתחילה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התרומה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נולד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].</w:t>
      </w:r>
    </w:p>
    <w:p w:rsidR="00000000" w:rsidDel="00000000" w:rsidP="00000000" w:rsidRDefault="00000000" w:rsidRPr="00000000" w14:paraId="00000061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מוזכרים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דהמחבר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שנקרש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ונמוח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וברמ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מחמירין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וכוונתו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התרומה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שהיזכרנו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ונהגו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הצורך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לסמוך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והפוסקים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נקטו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בפשיטות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התרומה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כשמפשיר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נולד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איפכא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כשמקריש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הנוזל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נולד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פסקו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דלכתחילה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להחמיר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להקפיא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והשתיה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דנהגו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להחמיר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בדיעבד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הצורך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שמתקלקלים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המאכלים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וכדומה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להקל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שמסיים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2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  <w:cols w:equalWidth="0"/>
      <w:bidi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ni Schreiber" w:id="1" w:date="2020-04-26T20:40:12Z"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Arguing with tosfos</w:t>
      </w:r>
    </w:p>
  </w:comment>
  <w:comment w:author="Dani Schreiber" w:id="0" w:date="2020-04-26T20:39:57Z"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Arguing with Rashi below</w:t>
      </w:r>
    </w:p>
  </w:comment>
  <w:comment w:author="Dani Schreiber" w:id="2" w:date="2020-04-26T20:58:56Z"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Invitation for a wedding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