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bidi w:val="1"/>
        <w:jc w:val="both"/>
        <w:rPr/>
      </w:pPr>
      <w:bookmarkStart w:colFirst="0" w:colLast="0" w:name="_fymhi8gx58jk" w:id="0"/>
      <w:bookmarkEnd w:id="0"/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קמג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מוקצה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מגבונים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</w:t>
      </w:r>
    </w:p>
    <w:p w:rsidR="00000000" w:rsidDel="00000000" w:rsidP="00000000" w:rsidRDefault="00000000" w:rsidRPr="00000000" w14:paraId="00000002">
      <w:pPr>
        <w:pStyle w:val="Heading1"/>
        <w:bidi w:val="1"/>
        <w:spacing w:line="240" w:lineRule="auto"/>
        <w:jc w:val="both"/>
        <w:rPr/>
      </w:pPr>
      <w:bookmarkStart w:colFirst="0" w:colLast="0" w:name="_z35a24ph6ci8" w:id="1"/>
      <w:bookmarkEnd w:id="1"/>
      <w:r w:rsidDel="00000000" w:rsidR="00000000" w:rsidRPr="00000000">
        <w:rPr>
          <w:rtl w:val="1"/>
        </w:rPr>
        <w:t xml:space="preserve">מוקצה</w:t>
      </w:r>
    </w:p>
    <w:p w:rsidR="00000000" w:rsidDel="00000000" w:rsidP="00000000" w:rsidRDefault="00000000" w:rsidRPr="00000000" w14:paraId="00000003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חידושי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הריטב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קמג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</w:t>
      </w:r>
    </w:p>
    <w:p w:rsidR="00000000" w:rsidDel="00000000" w:rsidP="00000000" w:rsidRDefault="00000000" w:rsidRPr="00000000" w14:paraId="00000004">
      <w:pPr>
        <w:bidi w:val="1"/>
        <w:spacing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השולחן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בסיס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לדעת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הניחם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וכיון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בעודן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לטלטלם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השמשות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דכיון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דבדרך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אכילתו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הניחם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וכדי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לסלקם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לאלתר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באמצע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נקרא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בסיס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כשוכח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לסלק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הטבלה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שינערנה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ויפלו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העצמות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והקליפין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דהכא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מסתמא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כשצריך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למקומה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עסקינן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ואמרינן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דבצריך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למקומו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מטלטלו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ועודם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מסייעינן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דאיכא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לפרושי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דטעמא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דהכא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כגרף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רעי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מנערם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לפניו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וכיון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דאפשר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בסילוק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הטבלא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גרף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רעי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לכתחלה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שיהא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לטלטלם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בפני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עצמם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מקשים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שרינן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לנער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והמעות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נופלות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ואילו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דמטה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יחדה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למעות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לטלטלה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ואפילו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כשלא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השמשות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וסתמא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איתמרא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בשוכח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ואפילו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בניעור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דשרי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כדקאמרינן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דוכתא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כיצד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? (1)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ותירץ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הראב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דשאני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מטה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שמתוך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שהיא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עשוייה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להניח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מעות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ייחוד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ואפילו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בשוכח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נעשית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בסיס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בטלה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אצלם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[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דגרעינין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בטילי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לגבי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טבלא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ההנחה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עראי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מחוור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. (2)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שתירצו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דהתם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כשהיו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השמשות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וגם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מחוור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כדמשמע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(3)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הנכון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דהתם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נחית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למידק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כולי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האי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נתכוון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איסורא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בעודם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יחדה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לכך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ולאפוקי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מרישא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ואסור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לטלטלה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דקאמר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כדינה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שאם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[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תנן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לדעת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לגמרי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ואפילו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בניעור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ואפילו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לצורך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מקומה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בשוכח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לנערה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לסלקה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לצורך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מקומה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חידושי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הרשב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קמג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</w:t>
      </w:r>
    </w:p>
    <w:p w:rsidR="00000000" w:rsidDel="00000000" w:rsidP="00000000" w:rsidRDefault="00000000" w:rsidRPr="00000000" w14:paraId="00000008">
      <w:pPr>
        <w:bidi w:val="1"/>
        <w:spacing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דשמואל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ורבא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שמניח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האיסור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ההיתר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ומטלטל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גוף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ההיתר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ונוטל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האיסור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עלמא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הפת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לקנא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דמיא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בסיס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האיסור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דאינו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נעשה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בסיס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עושה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לזרקן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דומה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ששנינו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מסלק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הטבלא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ומנערה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כלומר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במקום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רוצה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לזרוק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הקליפין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והעצמות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במטה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יחדה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למעות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מעות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לטלטלה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דההיא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בשהיו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השמשות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במניח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לדעת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באמצע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תינוק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בדעתו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לנערו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ממנה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ואפילו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עשויין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ליפול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מעצמן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גוונא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להעמידה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והלכך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לרבי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יהודה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כאן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שהניחן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באמצע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דעת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לנערן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יהודה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מודה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שמעון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דהתם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במטלטלה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לצורך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גופה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ניעור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ובשאינו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למקומה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בצריך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למקומה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מטלטלן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ועודן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המקום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להניחה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והראב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דהתם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יחדה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למעות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בטלה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לגבי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מעות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דחשיבי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גרעינין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בטלי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לגבי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וקליפין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לגבי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טבלא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רא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כא</w:t>
      </w:r>
    </w:p>
    <w:p w:rsidR="00000000" w:rsidDel="00000000" w:rsidP="00000000" w:rsidRDefault="00000000" w:rsidRPr="00000000" w14:paraId="0000000B">
      <w:pPr>
        <w:bidi w:val="1"/>
        <w:spacing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סוגיא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יהודה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ואנן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קי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כרבי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שמעון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דלית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מוקצה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ושרי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לטלטולינהו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ומה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שכתב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אלפס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גב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דקי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לאשמעינן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דאדם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חשוב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מיבעיא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לאחמור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אנפשיה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כאביי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ורבא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דלעיל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קמב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לשמואל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בתרא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מחמיר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אנפשיה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: </w:t>
      </w:r>
    </w:p>
    <w:p w:rsidR="00000000" w:rsidDel="00000000" w:rsidP="00000000" w:rsidRDefault="00000000" w:rsidRPr="00000000" w14:paraId="0000000C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שח</w:t>
      </w:r>
    </w:p>
    <w:p w:rsidR="00000000" w:rsidDel="00000000" w:rsidP="00000000" w:rsidRDefault="00000000" w:rsidRPr="00000000" w14:paraId="0000000E">
      <w:pPr>
        <w:bidi w:val="1"/>
        <w:spacing w:after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מתירים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לטלטל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שמלאכתו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לאיסור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אפי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מחמה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לצל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ככר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תינוק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</w:p>
    <w:p w:rsidR="00000000" w:rsidDel="00000000" w:rsidP="00000000" w:rsidRDefault="00000000" w:rsidRPr="00000000" w14:paraId="0000000F">
      <w:pPr>
        <w:bidi w:val="1"/>
        <w:spacing w:after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ברורה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 -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ככר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תינוק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דוקא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ככר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נתן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חפץ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המותר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בתוכה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דעה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דעת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מהראשונים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חולקין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התירו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ככר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ותינוק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למת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בלבד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לטלטלו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ידיהם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וכדלקמן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בסימן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בשאר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מוקצה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הכריעו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אחרונים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דוקא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יניח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בתוך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מיוחד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מונח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המיוחד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במדוכה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ששוחקין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שמונח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בקדירה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קצת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מהתבשיל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לטלטל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אגב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המאכל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: </w:t>
      </w:r>
    </w:p>
    <w:p w:rsidR="00000000" w:rsidDel="00000000" w:rsidP="00000000" w:rsidRDefault="00000000" w:rsidRPr="00000000" w14:paraId="00000010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שח</w:t>
      </w:r>
    </w:p>
    <w:p w:rsidR="00000000" w:rsidDel="00000000" w:rsidP="00000000" w:rsidRDefault="00000000" w:rsidRPr="00000000" w14:paraId="00000012">
      <w:pPr>
        <w:bidi w:val="1"/>
        <w:spacing w:after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כז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עצמות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שראויים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לכלבים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וקליפים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שראוים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למאכל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ופרורים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כזית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להעבירם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השלחן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;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הקליפים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ראוים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למאכל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לטלטלם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מנער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הטבלא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נופלים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השלחן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להגביה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הטבלה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ולטלטלה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הקליפים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שאינם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מאכל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בטלים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אגב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הפת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;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למקום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השלחן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שאינם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ראוים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למאכל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להגביה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ולטלטלם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</w:p>
    <w:p w:rsidR="00000000" w:rsidDel="00000000" w:rsidP="00000000" w:rsidRDefault="00000000" w:rsidRPr="00000000" w14:paraId="00000013">
      <w:pPr>
        <w:bidi w:val="1"/>
        <w:spacing w:after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ברורה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-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קטו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מנער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הטבלא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המונח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השלחן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לשום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הלחם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מפה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הפרוסה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וטעם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ההיתר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מטלטלו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בידים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מעבירם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כגון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מגרר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אותם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סכין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המפה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דמותר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להשתמש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במקום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שמונח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העצמות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והקליפין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דזה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מקרי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טלטול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הצד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ושרי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לצורך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המותר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וכדלקמן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בסימן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נתקבצו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הרבה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יחד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ומאוס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להניחן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השלחן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להעבירן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בידים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דהוו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לדידיה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כגרף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רעי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[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משמע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בגמרא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]: </w:t>
      </w:r>
    </w:p>
    <w:p w:rsidR="00000000" w:rsidDel="00000000" w:rsidP="00000000" w:rsidRDefault="00000000" w:rsidRPr="00000000" w14:paraId="00000014">
      <w:pPr>
        <w:bidi w:val="1"/>
        <w:spacing w:after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ברורה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שח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כו</w:t>
      </w:r>
    </w:p>
    <w:p w:rsidR="00000000" w:rsidDel="00000000" w:rsidP="00000000" w:rsidRDefault="00000000" w:rsidRPr="00000000" w14:paraId="00000017">
      <w:pPr>
        <w:bidi w:val="1"/>
        <w:spacing w:after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ככר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תינוק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דוקא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ככר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נתן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חפץ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המותר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בתוכה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דעה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דעת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מהראשונים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חולקין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התירו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ככר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ותינוק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בלבד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לטלטלו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ידיהם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וכדלקמן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בסימן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בשאר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מוקצה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הכריעו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אחרונים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דוקא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יניח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בתוך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מיוחד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מונח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המיוחד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במדוכה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ששוחקין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שמונח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בקדירה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קצת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מהתבשיל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לטלטל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אגב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המאכל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: </w:t>
      </w:r>
    </w:p>
    <w:p w:rsidR="00000000" w:rsidDel="00000000" w:rsidP="00000000" w:rsidRDefault="00000000" w:rsidRPr="00000000" w14:paraId="00000018">
      <w:pPr>
        <w:bidi w:val="1"/>
        <w:spacing w:after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bidi w:val="1"/>
        <w:spacing w:line="240" w:lineRule="auto"/>
        <w:jc w:val="both"/>
        <w:rPr/>
      </w:pPr>
      <w:bookmarkStart w:colFirst="0" w:colLast="0" w:name="_mtkuuqvp32n0" w:id="2"/>
      <w:bookmarkEnd w:id="2"/>
      <w:r w:rsidDel="00000000" w:rsidR="00000000" w:rsidRPr="00000000">
        <w:rPr>
          <w:rtl w:val="1"/>
        </w:rPr>
        <w:t xml:space="preserve">מגבונים</w:t>
      </w:r>
    </w:p>
    <w:p w:rsidR="00000000" w:rsidDel="00000000" w:rsidP="00000000" w:rsidRDefault="00000000" w:rsidRPr="00000000" w14:paraId="0000001A">
      <w:pPr>
        <w:shd w:fill="ffffff" w:val="clear"/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טו</w:t>
      </w:r>
    </w:p>
    <w:p w:rsidR="00000000" w:rsidDel="00000000" w:rsidP="00000000" w:rsidRDefault="00000000" w:rsidRPr="00000000" w14:paraId="0000001B">
      <w:pPr>
        <w:shd w:fill="ffffff" w:val="clear"/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המכבס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והסוחט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כסות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מכבס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לדחוק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מטלית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וכיוצא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האשישה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וכיוצא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לסתמה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סחיטה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מקנחין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בספוג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אחיזה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יסחוט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מכסין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וכיוצא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בבגד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גזירה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יסחוט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C">
      <w:pPr>
        <w:shd w:fill="ffffff" w:val="clear"/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השגת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הצרפתים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קמג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מקנחים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מפרשים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וקשיא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אחיזה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לקנוח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סחיטה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אחיזה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כצלוחית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שמריק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אחיזה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כבגד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לסחטו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D">
      <w:pPr>
        <w:shd w:fill="ffffff" w:val="clear"/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שכ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יז</w:t>
      </w:r>
    </w:p>
    <w:p w:rsidR="00000000" w:rsidDel="00000000" w:rsidP="00000000" w:rsidRDefault="00000000" w:rsidRPr="00000000" w14:paraId="0000001F">
      <w:pPr>
        <w:shd w:fill="ffffff" w:val="clear"/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ספוג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מקנחין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אחיזה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גזירה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יסחוט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0">
      <w:pPr>
        <w:shd w:fill="ffffff" w:val="clear"/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שכ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מז</w:t>
      </w:r>
    </w:p>
    <w:p w:rsidR="00000000" w:rsidDel="00000000" w:rsidP="00000000" w:rsidRDefault="00000000" w:rsidRPr="00000000" w14:paraId="00000022">
      <w:pPr>
        <w:shd w:fill="ffffff" w:val="clear"/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אחיזה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שיאחזנו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לקנח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סחיטה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דאעפ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לקנח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סחיטה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אחיזה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כצלוחית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שמריק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23">
      <w:pPr>
        <w:shd w:fill="ffffff" w:val="clear"/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יוסף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צבי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רימון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hyperlink r:id="rId6">
        <w:r w:rsidDel="00000000" w:rsidR="00000000" w:rsidRPr="00000000">
          <w:rPr>
            <w:rFonts w:ascii="David Libre" w:cs="David Libre" w:eastAsia="David Libre" w:hAnsi="David Libre"/>
            <w:sz w:val="24"/>
            <w:szCs w:val="24"/>
            <w:u w:val="single"/>
            <w:rtl w:val="0"/>
          </w:rPr>
          <w:t xml:space="preserve">https://www.sulamot.org/%d7%a9%d7%99%d7%9e%d7%95%d7%a9-%d7%91%d7%9e%d7%92%d7%91%d7%95%d7%a0%d7%99%d7%9d-%d7%9c%d7%97%d7%99%d7%9d-%d7%91%d7%a9%d7%91%d7%aa-%d7%a2%d7%91%d7%95%d7%a8-%d7%97%d7%99%d7%98%d7%95%d7%99/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bidi w:val="1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הפוסקים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שאסרו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מתירים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רואים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המגבונים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כיום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שבדרך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נסחט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פנימי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נסחט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מעדיפים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בהעדרו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הגרשז</w:t>
      </w:r>
      <w:r w:rsidDel="00000000" w:rsidR="00000000" w:rsidRPr="00000000">
        <w:rPr>
          <w:b w:val="1"/>
          <w:sz w:val="24"/>
          <w:szCs w:val="24"/>
          <w:rtl w:val="1"/>
        </w:rPr>
        <w:t xml:space="preserve">”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פרסום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האוסרים</w:t>
      </w:r>
      <w:r w:rsidDel="00000000" w:rsidR="00000000" w:rsidRPr="00000000">
        <w:rPr>
          <w:sz w:val="24"/>
          <w:szCs w:val="24"/>
          <w:rtl w:val="1"/>
        </w:rPr>
        <w:t xml:space="preserve">),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הגאון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הרב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אשר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וייס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שליט</w:t>
      </w:r>
      <w:r w:rsidDel="00000000" w:rsidR="00000000" w:rsidRPr="00000000">
        <w:rPr>
          <w:b w:val="1"/>
          <w:sz w:val="24"/>
          <w:szCs w:val="24"/>
          <w:rtl w:val="1"/>
        </w:rPr>
        <w:t xml:space="preserve">”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7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לכן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נראה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העיקר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לדינא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שמותר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להשתמש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במגבונים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לחים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במציאות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חיטוי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בקורונה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תינוק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במציאות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רגילה</w:t>
      </w:r>
      <w:r w:rsidDel="00000000" w:rsidR="00000000" w:rsidRPr="00000000">
        <w:rPr>
          <w:sz w:val="24"/>
          <w:szCs w:val="24"/>
          <w:rtl w:val="1"/>
        </w:rPr>
        <w:t xml:space="preserve">),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לנגב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בנחת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ובוודאי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יסחטו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).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להשתמש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במגבונים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כמעט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יבשים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אדרבה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עדיפים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מגבונים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ורגילים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מספיקה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המגבון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בשימוש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בנחת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אולם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מגבונים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הספוגים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בנוזלים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נוטפים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מים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שלעתים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רחוקות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החבילה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וכיום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כמעט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קורה</w:t>
      </w:r>
      <w:r w:rsidDel="00000000" w:rsidR="00000000" w:rsidRPr="00000000">
        <w:rPr>
          <w:sz w:val="24"/>
          <w:szCs w:val="24"/>
          <w:rtl w:val="1"/>
        </w:rPr>
        <w:t xml:space="preserve">). </w:t>
      </w:r>
      <w:r w:rsidDel="00000000" w:rsidR="00000000" w:rsidRPr="00000000">
        <w:rPr>
          <w:sz w:val="24"/>
          <w:szCs w:val="24"/>
          <w:rtl w:val="1"/>
        </w:rPr>
        <w:t xml:space="preserve">כמובן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ספריי</w:t>
      </w:r>
      <w:r w:rsidDel="00000000" w:rsidR="00000000" w:rsidRPr="00000000">
        <w:rPr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b w:val="1"/>
          <w:sz w:val="24"/>
          <w:szCs w:val="24"/>
          <w:rtl w:val="1"/>
        </w:rPr>
        <w:t xml:space="preserve">תרסיס</w:t>
      </w:r>
      <w:r w:rsidDel="00000000" w:rsidR="00000000" w:rsidRPr="00000000">
        <w:rPr>
          <w:b w:val="1"/>
          <w:sz w:val="24"/>
          <w:szCs w:val="24"/>
          <w:rtl w:val="1"/>
        </w:rPr>
        <w:t xml:space="preserve">)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לחיטוי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שאיננו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מצריך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שימוש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במגבון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בכך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הידור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8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להדגיש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ניקוי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כיסאות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מבד</w:t>
      </w:r>
      <w:r w:rsidDel="00000000" w:rsidR="00000000" w:rsidRPr="00000000">
        <w:rPr>
          <w:sz w:val="24"/>
          <w:szCs w:val="24"/>
          <w:rtl w:val="1"/>
        </w:rPr>
        <w:t xml:space="preserve"> –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הכיסא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ריפוד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להניח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עליו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מגבון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בכך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חשש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לאיסור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תורה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מלבן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בניקוי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הכיסא</w:t>
      </w:r>
      <w:r w:rsidDel="00000000" w:rsidR="00000000" w:rsidRPr="00000000">
        <w:rPr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29">
      <w:pPr>
        <w:shd w:fill="ffffff" w:val="clear"/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להשתמש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במגבונים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למטרות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ראוי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להימנע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משימוש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במגבונים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לצורך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ניקוי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עליו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כתמים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וכדומה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כיוון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שאז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לעיתים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זקוקים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ליותר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נוזלים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וכבר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גירוי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תינוק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ופעמים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לוחצים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המגבון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בכוח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פרט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חריגים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יקפיד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להשתמש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בנחת</w:t>
      </w:r>
      <w:r w:rsidDel="00000000" w:rsidR="00000000" w:rsidRPr="00000000">
        <w:rPr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2A">
      <w:pPr>
        <w:pStyle w:val="Heading1"/>
        <w:bidi w:val="1"/>
        <w:spacing w:line="240" w:lineRule="auto"/>
        <w:jc w:val="both"/>
        <w:rPr/>
      </w:pPr>
      <w:bookmarkStart w:colFirst="0" w:colLast="0" w:name="_xdxdnx8ea7vs" w:id="3"/>
      <w:bookmarkEnd w:id="3"/>
      <w:r w:rsidDel="00000000" w:rsidR="00000000" w:rsidRPr="00000000">
        <w:rPr>
          <w:rtl w:val="1"/>
        </w:rPr>
        <w:t xml:space="preserve">תשעה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2B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הדף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קמג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</w:t>
      </w:r>
    </w:p>
    <w:p w:rsidR="00000000" w:rsidDel="00000000" w:rsidP="00000000" w:rsidRDefault="00000000" w:rsidRPr="00000000" w14:paraId="0000002C">
      <w:pPr>
        <w:bidi w:val="1"/>
        <w:spacing w:after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בתוספתא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המחלוקת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במשנה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וכנ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מעבירין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השלחן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מסלק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הטבלא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הפוך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ודברי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וסיום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התוספתא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זכרי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אבקילוס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נוהג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כדברי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כדברי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נוטל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ומשליך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לאחר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המטה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יוסי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ענותנותו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זכרי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אבקילוס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שרפה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ההיכל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התוספתא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והדברים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תמוהים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ביותר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ענין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ענותנותו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אבקילס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ושריפת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ההיכל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למשנתנו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spacing w:after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וביאר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הגה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מאוסטרובצה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זצ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בספרו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מאיר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עיני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חכמים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חלק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קסה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בהקדם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הגר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הגמ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בגיטין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בעובדא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דקמצא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קמצא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ששלחה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מלכות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הרשעה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קמצא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קרבן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לבית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המקדש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להקריב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לשלום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המלכות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קמצא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הטיל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בדרך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השאלה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לפני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החכמים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להקריב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קרבן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מלכות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הסכים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זכרי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אבקילוס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יאמרו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מומין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קריבין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לגבי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מזבח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ובקשו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להרוג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קמצא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ילך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וילשין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הקיסר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הסכים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זכרי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אבקילוס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שמא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יאמרו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המטיל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בקדשים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יהרג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ואמרו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בגמ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ענותנותו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זכרי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אבקילוס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החריבה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בתינו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ושרפה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היכלנו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עיין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והקשה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הגאון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מווילנא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שייך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הכא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עניוות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זכרי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מילתא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בטעמא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bidi w:val="1"/>
        <w:spacing w:after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ותירץ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הגאון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דאיתא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במשנה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סנהדרין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דבדיני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נפשות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מתחילין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הצד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הקטן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שבסנהדרין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ואמרינן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בגמ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דהטעם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תענה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הגדול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יחוה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דעתו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בראשונה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שהנידון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יכלו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סנהדרין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לחלוק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ואפשר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נגד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הגדול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שבסנהדרין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ונמצא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שזכאי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יהרג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להטות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מתחילים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הצד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יחוה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דעתו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שואלין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הגדול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שבסנהדרין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דעתו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נגדו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יגמר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זכרי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אז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הגדול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שבסנהדרין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וכאן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נוגע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לסכנת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נפשות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והיו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צריכין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לפתוח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הצד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ובודאי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עושים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נגד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דעת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זכרי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מקריבין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הקרבן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הורגין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קמצא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לידי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חורבן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המקדש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spacing w:after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זכרי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החזיק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בענותנותו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לקטן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שבכולם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וחוה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דעתו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בראשונה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וסנהדרין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שידעו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באמת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הגדול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שבכולם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רצו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לחלוק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עליו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הקריבו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הקרבן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הרגו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קמצא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והלשין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החורבן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נמצא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ענותנותו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זכרי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סיבה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החורבן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עכת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הגאון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ביאר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הגה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מאוסטרובצה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זצ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בדברי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התוספתא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כאן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קמב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אביי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חשוב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אנא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כפא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אכיפי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חזו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למיזגא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עלייהו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אנא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חשוב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אנא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סכינא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חזי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לאומצא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עיין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בגמ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רצו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לטלטל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המוקצה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דמוקצה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שכיון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שהיו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אנשים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חשובים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שבדור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החמירו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עצמן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לטלטל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וכדאיתא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בתוס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לקמן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קמג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שמואל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שכתבו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חשוב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יכול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להחמיר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במוקצה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דהלכה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דמוקצה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מזה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שרבי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זכרי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אבקילוס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הי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נוטל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העצמות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ומשליך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לאחר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המטה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כר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דשרי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מוקצה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נמצא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הי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מחזיק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לאדם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חשוב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דאדם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חשוב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להתנהג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באיסור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טילטול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דהלכה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כר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b w:val="1"/>
          <w:rtl w:val="0"/>
        </w:rPr>
        <w:t xml:space="preserve">.</w:t>
      </w:r>
    </w:p>
    <w:p w:rsidR="00000000" w:rsidDel="00000000" w:rsidP="00000000" w:rsidRDefault="00000000" w:rsidRPr="00000000" w14:paraId="00000031">
      <w:pPr>
        <w:bidi w:val="1"/>
        <w:spacing w:after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ובשביל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יוסי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ענותנותו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זכרי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אבקילוס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שרפה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ההיכל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להראות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עניוות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טוב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עשה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במה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שטלטל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המוקצה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החזיק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לאדם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חשוב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להחמיר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באיסור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טלטול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מוקצה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דבשביל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ענותנותו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נשרף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ההיכל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ונחרב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המקדש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ודו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spacing w:after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מהר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ץ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חיות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גיטין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נו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</w:t>
      </w:r>
    </w:p>
    <w:p w:rsidR="00000000" w:rsidDel="00000000" w:rsidP="00000000" w:rsidRDefault="00000000" w:rsidRPr="00000000" w14:paraId="00000034">
      <w:pPr>
        <w:bidi w:val="1"/>
        <w:spacing w:after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הפרו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תורתך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לולב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תרנ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ראיה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כאן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דמותר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לעבור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אימת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המלכות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והיינו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דחזינן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נכון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בעיני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דרכו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רזב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יאמרו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מומים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קרבים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לגביה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מזבח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מוכח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מותרין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אימת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מלכות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הורגין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קמצא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עושין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שרדף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והבא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להורגך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השכם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להורגו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ואולם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גודל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ענותנותו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רזב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הרהיב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בנפשו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עוז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למעשה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וחשש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שיחשדו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שעשה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כהלכה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החשיב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לגדול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ולקבוע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בדעתו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עושה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למעשה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ולתלות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בהוראת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שעה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וחישב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הדבר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נמסר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לגדולי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הדור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.</w:t>
      </w:r>
      <w:r w:rsidDel="00000000" w:rsidR="00000000" w:rsidRPr="00000000">
        <w:rPr>
          <w:rFonts w:ascii="David Libre" w:cs="David Libre" w:eastAsia="David Libre" w:hAnsi="David Libre"/>
          <w:b w:val="1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ראוי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גדולות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ולתלות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למען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לגדור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גדר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ולעמוד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בפרץ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לשון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ענותנותו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רצה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לעמוד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דעתו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הסיבה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לחורבן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הבית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</w:p>
    <w:p w:rsidR="00000000" w:rsidDel="00000000" w:rsidP="00000000" w:rsidRDefault="00000000" w:rsidRPr="00000000" w14:paraId="00000035">
      <w:pPr>
        <w:bidi w:val="1"/>
        <w:spacing w:after="0"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863.9999999999999" w:left="863.9999999999999" w:right="863.9999999999999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 Libr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ulamot.org/%d7%a9%d7%99%d7%9e%d7%95%d7%a9-%d7%91%d7%9e%d7%92%d7%91%d7%95%d7%a0%d7%99%d7%9d-%d7%9c%d7%97%d7%99%d7%9d-%d7%91%d7%a9%d7%91%d7%aa-%d7%a2%d7%91%d7%95%d7%a8-%d7%97%d7%99%d7%98%d7%95%d7%99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vidLibre-regular.ttf"/><Relationship Id="rId2" Type="http://schemas.openxmlformats.org/officeDocument/2006/relationships/font" Target="fonts/DavidLibr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