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bidi w:val="1"/>
        <w:spacing w:line="240" w:lineRule="auto"/>
        <w:contextualSpacing w:val="0"/>
        <w:jc w:val="both"/>
        <w:rPr/>
      </w:pPr>
      <w:bookmarkStart w:colFirst="0" w:colLast="0" w:name="_rnj07msu2mna" w:id="0"/>
      <w:bookmarkEnd w:id="0"/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במחתרת</w:t>
      </w:r>
    </w:p>
    <w:p w:rsidR="00000000" w:rsidDel="00000000" w:rsidP="00000000" w:rsidRDefault="00000000" w:rsidRPr="00000000" w14:paraId="00000002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יח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ששאלת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ואנהרת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דגונב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לחודיה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04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דגונב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שמיתתן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ומלקות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דרשינן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מממון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חזקיה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ישלמנה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למזיד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לפוטרו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לפוטרו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במיתת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נפגמה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כדרכה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סורר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:)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קנס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וניתן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להצילו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דאפשר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לידי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מממון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ואיתנהו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קננהו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חשבינן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קננהו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ודידיה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אסיקנ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איתנהו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ליטול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=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=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קננהו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מתניתין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דדיניה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כהלכתו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להמיתו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בסייף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להמיתו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גניבה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0A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שיכולין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להמיתו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+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'+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commentRangeStart w:id="2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שרחמי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והכירוהו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שהכירוהו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ויהרגוהו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הכירוהו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יהרגנו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נתכוון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אונקלוס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וההורגן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המתעכב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מיטמר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ובורח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לחייבו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1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3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גניבה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חצרו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קרפיפו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הגנבים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נמנע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פשוטו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להשמטה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ובורח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מתעכב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ושמוטה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מגדל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עוז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גניבה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16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מאופז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ולמוכיחים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ינעם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נבוב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ילבב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המשוכים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הביברין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הזמנים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המשתנים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הגנבים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אורחותיהם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עקשים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ונלוזים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במעגלותם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עונותיהם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וחטאתם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אדמדם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ירוצו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וימהרו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לשפוך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ומרוה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דגרסינן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לשיעורין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4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מאירי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יראה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שאמרנו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מפקחין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הגל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פירושו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בספק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שמפקחין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רודף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משתדל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בפיקוחו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וליבו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גנבתו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highlight w:val="white"/>
          <w:u w:val="single"/>
          <w:rtl w:val="1"/>
        </w:rPr>
        <w:t xml:space="preserve">מפקחין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?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למקטליה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דמקטליה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למקטליה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להרגך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דלהצלה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לאצוליה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אכתי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דדעתיה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למקטליה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דלדייניה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יכילנא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שקילנא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לממוניה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כרחיה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שביקנא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ולממוניה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וערקנא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וקטיל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5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דאכתי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הגנבים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מדאמרי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להקריבו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שיעכבוהו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ברשותו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ותירץ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שקני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דיכרי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סברתו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גנבה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קנויה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הגנבים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להשבון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שקנאה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הממון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שקנאם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תועלת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לגנב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בחזרתו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חסידות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0" w:footer="720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18-11-11T20:25:09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Rashba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</w:p>
  </w:comment>
  <w:comment w:author="Dani Schreiber" w:id="3" w:date="2018-11-11T20:44:04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Raavad says Only at night  literally?</w:t>
      </w:r>
    </w:p>
  </w:comment>
  <w:comment w:author="Dani Schreiber" w:id="2" w:date="2018-11-12T17:22:27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Metaphor</w:t>
      </w:r>
    </w:p>
  </w:comment>
  <w:comment w:author="Dani Schreiber" w:id="4" w:date="2018-11-11T20:45:38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rashi says you dont have tosave him at all, Meiri says only if hes a safek</w:t>
      </w:r>
    </w:p>
  </w:comment>
  <w:comment w:author="Dani Schreiber" w:id="5" w:date="2018-11-12T17:03:05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Tosfos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  <w:comment w:author="Dani Schreiber" w:id="1" w:date="2018-11-11T20:31:18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implies that it's a punishment, against Rambam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