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bidi w:val="1"/>
        <w:spacing w:line="240" w:lineRule="auto"/>
        <w:jc w:val="both"/>
        <w:rPr/>
      </w:pPr>
      <w:bookmarkStart w:colFirst="0" w:colLast="0" w:name="_djaau6dhgco" w:id="0"/>
      <w:bookmarkEnd w:id="0"/>
      <w:r w:rsidDel="00000000" w:rsidR="00000000" w:rsidRPr="00000000">
        <w:rPr>
          <w:rtl w:val="1"/>
        </w:rPr>
        <w:t xml:space="preserve">סנהדרין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 - </w:t>
      </w:r>
      <w:r w:rsidDel="00000000" w:rsidR="00000000" w:rsidRPr="00000000">
        <w:rPr>
          <w:rtl w:val="1"/>
        </w:rPr>
        <w:t xml:space="preserve">שתיית</w:t>
      </w:r>
      <w:r w:rsidDel="00000000" w:rsidR="00000000" w:rsidRPr="00000000">
        <w:rPr>
          <w:rtl w:val="1"/>
        </w:rPr>
        <w:t xml:space="preserve"> </w:t>
      </w:r>
      <w:r w:rsidDel="00000000" w:rsidR="00000000" w:rsidRPr="00000000">
        <w:rPr>
          <w:rtl w:val="1"/>
        </w:rPr>
        <w:t xml:space="preserve">יין</w:t>
      </w:r>
      <w:r w:rsidDel="00000000" w:rsidR="00000000" w:rsidRPr="00000000">
        <w:rPr>
          <w:rtl w:val="1"/>
        </w:rPr>
        <w:t xml:space="preserve"> </w:t>
      </w:r>
      <w:r w:rsidDel="00000000" w:rsidR="00000000" w:rsidRPr="00000000">
        <w:rPr>
          <w:rtl w:val="1"/>
        </w:rPr>
        <w:t xml:space="preserve">ובן</w:t>
      </w:r>
      <w:r w:rsidDel="00000000" w:rsidR="00000000" w:rsidRPr="00000000">
        <w:rPr>
          <w:rtl w:val="1"/>
        </w:rPr>
        <w:t xml:space="preserve"> </w:t>
      </w:r>
      <w:r w:rsidDel="00000000" w:rsidR="00000000" w:rsidRPr="00000000">
        <w:rPr>
          <w:rtl w:val="1"/>
        </w:rPr>
        <w:t xml:space="preserve">סורר</w:t>
      </w:r>
      <w:r w:rsidDel="00000000" w:rsidR="00000000" w:rsidRPr="00000000">
        <w:rPr>
          <w:rtl w:val="1"/>
        </w:rPr>
        <w:t xml:space="preserve"> </w:t>
      </w:r>
      <w:r w:rsidDel="00000000" w:rsidR="00000000" w:rsidRPr="00000000">
        <w:rPr>
          <w:rtl w:val="1"/>
        </w:rPr>
        <w:t xml:space="preserve">ומורה</w:t>
      </w:r>
    </w:p>
    <w:p w:rsidR="00000000" w:rsidDel="00000000" w:rsidP="00000000" w:rsidRDefault="00000000" w:rsidRPr="00000000" w14:paraId="00000001">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2">
      <w:pPr>
        <w:bidi w:val="1"/>
        <w:spacing w:line="240" w:lineRule="auto"/>
        <w:jc w:val="both"/>
        <w:rPr>
          <w:rFonts w:ascii="David Libre" w:cs="David Libre" w:eastAsia="David Libre" w:hAnsi="David Libre"/>
          <w:b w:val="1"/>
          <w:sz w:val="24"/>
          <w:szCs w:val="24"/>
        </w:rPr>
      </w:pPr>
      <w:commentRangeStart w:id="0"/>
      <w:r w:rsidDel="00000000" w:rsidR="00000000" w:rsidRPr="00000000">
        <w:rPr>
          <w:rFonts w:ascii="David Libre" w:cs="David Libre" w:eastAsia="David Libre" w:hAnsi="David Libre"/>
          <w:b w:val="1"/>
          <w:sz w:val="24"/>
          <w:szCs w:val="24"/>
          <w:rtl w:val="1"/>
        </w:rPr>
        <w:t xml:space="preserve">יד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רמ</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וראינו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חידושי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צרפת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ניטלה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תרומתו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משכחת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מיבעי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בתבואה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משכחת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4">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5">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0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במשנה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הכריח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איריא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דהכוונה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ושיגרא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דלישני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דהקודמים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נקיט</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7">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8">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הבחירה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מאירי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09">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טבל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ניטלה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תרומתו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שמכרן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נפדו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A">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B">
      <w:pPr>
        <w:bidi w:val="1"/>
        <w:spacing w:line="240" w:lineRule="auto"/>
        <w:jc w:val="both"/>
        <w:rPr>
          <w:rFonts w:ascii="David Libre" w:cs="David Libre" w:eastAsia="David Libre" w:hAnsi="David Libre"/>
          <w:b w:val="1"/>
          <w:sz w:val="24"/>
          <w:szCs w:val="24"/>
        </w:rPr>
      </w:pPr>
      <w:commentRangeStart w:id="1"/>
      <w:r w:rsidDel="00000000" w:rsidR="00000000" w:rsidRPr="00000000">
        <w:rPr>
          <w:rFonts w:ascii="David Libre" w:cs="David Libre" w:eastAsia="David Libre" w:hAnsi="David Libre"/>
          <w:b w:val="1"/>
          <w:sz w:val="24"/>
          <w:szCs w:val="24"/>
          <w:rtl w:val="1"/>
        </w:rPr>
        <w:t xml:space="preserve">תורת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C">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ששכרן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צדיקים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נמשל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כדאמרינן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בפרק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עומדין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אלהים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זולתך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המשומר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בענביו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בראשית</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1"/>
        </w:rPr>
        <w:t xml:space="preserve">וכיון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דשכר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רוחני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נמשל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רוחני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לשלם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לרשעים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שעושין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גשמי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להאבידן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דנקט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לאפוקי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ואתחנן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והחסד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לאהביו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ומשלם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לשונאיו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פניו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להאבידו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רמז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והחסד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לאוהביו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לרשעים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גשמי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בסמוך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לשונאיו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להאבידן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D">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דשכר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רוחני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גשמי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בסמוך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ששכר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נכלל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במספר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כדאשכחן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אליעזר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תליסר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דמשכי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אפרסמונא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יוחאי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תכתכא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פיזא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דאחוו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אפרסמון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ומספר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עשרה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מדות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רחמים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והרשעים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שמחליפין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העומד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בעולם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העובר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בתענוג</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גשמי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ומהפכין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עשרה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מדות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רחמים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לרוגז</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rtl w:val="1"/>
        </w:rPr>
        <w:t xml:space="preserve">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בגיהנם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שמקבלין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מקבלין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אוב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בגימטריא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ואבדן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E">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F">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יומא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זכה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לשתות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שמפקח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בחכמה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0">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1">
      <w:pPr>
        <w:bidi w:val="1"/>
        <w:spacing w:line="240" w:lineRule="auto"/>
        <w:jc w:val="both"/>
        <w:rPr>
          <w:rFonts w:ascii="David Libre" w:cs="David Libre" w:eastAsia="David Libre" w:hAnsi="David Libre"/>
          <w:b w:val="1"/>
          <w:sz w:val="24"/>
          <w:szCs w:val="24"/>
        </w:rPr>
      </w:pPr>
      <w:commentRangeStart w:id="2"/>
      <w:r w:rsidDel="00000000" w:rsidR="00000000" w:rsidRPr="00000000">
        <w:rPr>
          <w:rFonts w:ascii="David Libre" w:cs="David Libre" w:eastAsia="David Libre" w:hAnsi="David Libre"/>
          <w:b w:val="1"/>
          <w:sz w:val="24"/>
          <w:szCs w:val="24"/>
          <w:rtl w:val="1"/>
        </w:rPr>
        <w:t xml:space="preserve">תוספות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ביצה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2">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דמברכינן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ומריח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במוצאי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מברכינן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דמברכינן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דמברכי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מברכין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ממילא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בשמים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3">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4">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מהרש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חידושי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אגדות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15">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מרישיה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לסיפיה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שצועק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כששותה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והב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בקנותו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פצעים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פצע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המזיקו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פצעים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בשכרותו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הפצע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שישתלם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הפצע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ומאן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דדריש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מסיפיה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לרישיה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ראשונים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באבילות</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ולמי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ולמי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צער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פצעים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חנם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בכייה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חכלילי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לפכוחי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צערייהו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6">
      <w:pPr>
        <w:bidi w:val="1"/>
        <w:spacing w:line="240" w:lineRule="auto"/>
        <w:jc w:val="both"/>
        <w:rPr>
          <w:rFonts w:ascii="David Libre" w:cs="David Libre" w:eastAsia="David Libre" w:hAnsi="David Libre"/>
          <w:sz w:val="24"/>
          <w:szCs w:val="24"/>
        </w:rPr>
      </w:pPr>
      <w:r w:rsidDel="00000000" w:rsidR="00000000" w:rsidRPr="00000000">
        <w:rPr>
          <w:rtl w:val="0"/>
        </w:rPr>
      </w:r>
    </w:p>
    <w:tbl>
      <w:tblPr>
        <w:tblStyle w:val="Table1"/>
        <w:bidiVisual w:val="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יהוידע</w:t>
            </w:r>
          </w:p>
          <w:p w:rsidR="00000000" w:rsidDel="00000000" w:rsidP="00000000" w:rsidRDefault="00000000" w:rsidRPr="00000000" w14:paraId="00000018">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2838450" cy="2425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38450" cy="2425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2838450" cy="22352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38450" cy="2235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A">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B">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תורת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p>
    <w:p w:rsidR="00000000" w:rsidDel="00000000" w:rsidP="00000000" w:rsidRDefault="00000000" w:rsidRPr="00000000" w14:paraId="0000001C">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שקלקלו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נתקנו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פשוטו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משמע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דלאו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נתקנו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מחטאם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נתקנו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ערומים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נתקנו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מחטאם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שנקנסה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בתענית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זרזי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תאנים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ושלשים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ויעשו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חגורות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מתרגמינן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ועבדו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זרזין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דהעלאת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צער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ועינוי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חשיב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בכלל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התשובה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עינויים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חגורות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נתכוונו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לכסות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נתכוונו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לסבול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ועינוי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שקלקלו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נתקנו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ותקנה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ניחא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ערומים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ויתפרו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ערומים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ויתפרו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ערומים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ויתפרו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חגורות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שהעלו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ולתקן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כדפי</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D">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E">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יד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רמ</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p>
    <w:p w:rsidR="00000000" w:rsidDel="00000000" w:rsidP="00000000" w:rsidRDefault="00000000" w:rsidRPr="00000000" w14:paraId="0000001F">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בחבורה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סריקין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מרגלי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דלאו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סריקין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דאיכא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דמוכח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ממשיך</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20">
      <w:pPr>
        <w:bidi w:val="1"/>
        <w:spacing w:line="240" w:lineRule="auto"/>
        <w:jc w:val="both"/>
        <w:rPr>
          <w:rFonts w:ascii="David Libre" w:cs="David Libre" w:eastAsia="David Libre" w:hAnsi="David Libre"/>
          <w:sz w:val="24"/>
          <w:szCs w:val="24"/>
        </w:rPr>
      </w:pPr>
      <w:r w:rsidDel="00000000" w:rsidR="00000000" w:rsidRPr="00000000">
        <w:rPr>
          <w:rtl w:val="0"/>
        </w:rPr>
      </w:r>
    </w:p>
    <w:sectPr>
      <w:pgSz w:h="15840" w:w="12240"/>
      <w:pgMar w:bottom="863.9999999999999" w:top="863.9999999999999"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1" w:date="2018-12-31T08:47:38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ביוגרפיה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תורת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חיים</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Abraham Hayyim ben R. Naftali Tzvi Hirsch Schor was descended from a distinguished rabbinical family. He served as the head of the Rabbinic Academy (rosh yeshiva)and head of the rabbinic court in Satanov and Belz, in Galicia... He passed away in 1632 in Belz.</w:t>
      </w:r>
    </w:p>
  </w:comment>
  <w:comment w:author="Dani Schreiber" w:id="0" w:date="2018-12-31T08:42:10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Rashash disagrees and says "eat" wine means to drink it.</w:t>
      </w:r>
    </w:p>
  </w:comment>
  <w:comment w:author="Dani Schreiber" w:id="2" w:date="2018-12-31T09:01:50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Smell makes you wise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