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bidi w:val="1"/>
        <w:jc w:val="both"/>
        <w:rPr/>
      </w:pPr>
      <w:bookmarkStart w:colFirst="0" w:colLast="0" w:name="_n2d9j0sw3dy0" w:id="0"/>
      <w:bookmarkEnd w:id="0"/>
      <w:r w:rsidDel="00000000" w:rsidR="00000000" w:rsidRPr="00000000">
        <w:rPr>
          <w:rtl w:val="1"/>
        </w:rPr>
        <w:t xml:space="preserve">סנהדרין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סח</w:t>
      </w:r>
      <w:r w:rsidDel="00000000" w:rsidR="00000000" w:rsidRPr="00000000">
        <w:rPr>
          <w:rtl w:val="1"/>
        </w:rPr>
        <w:t xml:space="preserve">: -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ומורה</w:t>
      </w:r>
    </w:p>
    <w:tbl>
      <w:tblPr>
        <w:tblStyle w:val="Table1"/>
        <w:bidiVisual w:val="1"/>
        <w:tblW w:w="1051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7"/>
        <w:gridCol w:w="5257"/>
        <w:tblGridChange w:id="0">
          <w:tblGrid>
            <w:gridCol w:w="5257"/>
            <w:gridCol w:w="5257"/>
          </w:tblGrid>
        </w:tblGridChange>
      </w:tblGrid>
      <w:tr>
        <w:trPr>
          <w:trHeight w:val="1090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bidi w:val="1"/>
              <w:spacing w:line="240" w:lineRule="auto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ברכת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אברהם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סח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02">
            <w:pPr>
              <w:widowControl w:val="0"/>
              <w:bidi w:val="1"/>
              <w:spacing w:line="240" w:lineRule="auto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</w:rPr>
              <w:drawing>
                <wp:inline distB="114300" distT="114300" distL="114300" distR="114300">
                  <wp:extent cx="3096577" cy="6728727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577" cy="672872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bidi w:val="1"/>
              <w:spacing w:line="240" w:lineRule="auto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</w:rPr>
              <w:drawing>
                <wp:inline distB="114300" distT="114300" distL="114300" distR="114300">
                  <wp:extent cx="3125153" cy="6595414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5153" cy="659541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after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after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commentRangeStart w:id="0"/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אישות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ט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שילדה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שתים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עשרה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הביאה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תחתון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גדולה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כסימנין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8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after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commentRangeStart w:id="1"/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מהרי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נא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וטעם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וסימנין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עיקר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הגדלות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גורמין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וסימנין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כתיבי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בקרא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גדולה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וקטנה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כתיבא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ומסרו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סימנין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להבחין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גדולה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לקטנה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שערות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ולהכי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סימנין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שאינם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ניכרת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הגדלו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נעשי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עצמה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גדולה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תדע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דאיפשר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שתהא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גדולה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הביאה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סימנין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כגון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איילנית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סורר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בדורות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הראשונים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דהוו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ילדי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בתמניא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ומייתי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מבצלאל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מקודם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גדולה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תדע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דלעיל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פרקא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קטן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מוליד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שנאמ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גואל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רחמנא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לחזור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גואלים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קטן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לחזור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בידוע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גואלים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והקשו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התוספות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לקמן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דבדורות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הראשוני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ילדי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בתמניא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ותרצו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ממהרים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סימנין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דנתנו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חכמי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שיעור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סימני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לקטנ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עשרה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ולקטן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בדורות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האחרוני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נתנו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הסימן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בהדיא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הגדלות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תלוי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דגדלות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ונתנו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חכמים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סימנין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הזמן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נמצ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שכשאנו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מסתפקי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בריב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ספק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הגיעה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לכלל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וספק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הביאה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שערות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שאלו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סימנים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ספק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עדיין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קטנה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ספק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הגדילה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שלהחזיק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בגדולה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ספיקא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ספק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גדולה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ספק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קטנה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B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after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הרשב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אלף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רטז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תשובה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שנינו</w:t>
      </w:r>
    </w:p>
    <w:p w:rsidR="00000000" w:rsidDel="00000000" w:rsidP="00000000" w:rsidRDefault="00000000" w:rsidRPr="00000000" w14:paraId="0000000D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ושאלו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בגמרא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שערות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הביאתן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הזמן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גדלות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בעלמא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ואסיק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קידש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היתומה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שהביאה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שערות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יכולה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למאן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דקטנה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הגדילה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ידענו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הביאה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שערות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לחלק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שהגיעה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שנותיה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שהגיעה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שנותיה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שבדקנוה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שערות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יכולה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למאן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מדרבא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קטנה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שהגיעה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שנותיה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צריכה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בדיקה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חזקה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הביאה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סימנין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נמצאו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עכשו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חוששין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נשרו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דספיקא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גדלות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חוששין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נשרו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איתנהו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מקודשת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מדרבנן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וספיקא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דרבנן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לקולא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וכדאיתא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ונמצא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שקודם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עשרה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קרויה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קטנה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שתים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עשרה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גדולה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קרויה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מופלת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סמוכה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שתים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עשרה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נקראת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גדולה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הנערה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האמורה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שהביאה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שערות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E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שולחן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ערוך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אורח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ברכות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השחר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ושאר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ברכות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נג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סעיף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10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ללמוד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מקומות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שנוהגים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שהקטנים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יורדין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התיבה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להתפלל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תפלת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ערבית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במוצאי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שבתות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הגה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ובמקומות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נהגו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לקטן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התיבה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בתפלת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ערבית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הגיע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להתפלל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ערבית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). </w:t>
      </w:r>
    </w:p>
    <w:p w:rsidR="00000000" w:rsidDel="00000000" w:rsidP="00000000" w:rsidRDefault="00000000" w:rsidRPr="00000000" w14:paraId="00000011">
      <w:pPr>
        <w:bidi w:val="1"/>
        <w:spacing w:after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spacing w:after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מגן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אברהם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נג</w:t>
      </w:r>
    </w:p>
    <w:p w:rsidR="00000000" w:rsidDel="00000000" w:rsidP="00000000" w:rsidRDefault="00000000" w:rsidRPr="00000000" w14:paraId="00000013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דאמרי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דבעי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שמתחיל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שנולד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קרינן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4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spacing w:after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פרי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מגדים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אורח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אשל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אברהם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נג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יג</w:t>
      </w:r>
    </w:p>
    <w:p w:rsidR="00000000" w:rsidDel="00000000" w:rsidP="00000000" w:rsidRDefault="00000000" w:rsidRPr="00000000" w14:paraId="00000016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לבוש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סעיף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מוציא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קיימא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דמוציא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כבוד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הציבור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שקטן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יוציא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הציבור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7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spacing w:after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נודע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ביהודה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מהדורא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תניינא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אורח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ו</w:t>
      </w:r>
    </w:p>
    <w:p w:rsidR="00000000" w:rsidDel="00000000" w:rsidP="00000000" w:rsidRDefault="00000000" w:rsidRPr="00000000" w14:paraId="00000019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בקטן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שהגיע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במקצת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לצרפו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לעשרה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ידעתי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מסופק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פשט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המנהג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כדברי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המג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דתיכף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כשחשכה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ליל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שנולד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דהיינו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ליל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השייך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שיהיה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למחרתו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בחודש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שנולד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כבר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מקרי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ויום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ורשאי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לעבור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התיבה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מעלתו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דבעינן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ידעתי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מקומו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שהלחם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חמודות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דופן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בתחלת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רצה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דבעינן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בסוף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גמורים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</w:p>
    <w:sectPr>
      <w:pgSz w:h="15840" w:w="12240"/>
      <w:pgMar w:bottom="863.9999999999999" w:top="863.9999999999999" w:left="863.9999999999999" w:right="863.9999999999999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Dani Schreiber" w:id="1" w:date="2018-12-16T22:32:34Z"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ביוגרפיה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Rabbi Joseph ben Moses Trani (Maharit), the son of Mabit (q. v.), was born in Safed in 1568, and died in Constantinople in 1639. He served as head of a yeshivah in Safed.</w:t>
      </w:r>
    </w:p>
  </w:comment>
  <w:comment w:author="Dani Schreiber" w:id="0" w:date="2018-12-17T15:40:51Z"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Rashi says it's only about the simanim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avid Libre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vidLibre-regular.ttf"/><Relationship Id="rId2" Type="http://schemas.openxmlformats.org/officeDocument/2006/relationships/font" Target="fonts/DavidLibr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