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18" w:rsidRPr="009D3748" w:rsidRDefault="00ED3193" w:rsidP="009D3748">
      <w:pPr>
        <w:pStyle w:val="Title"/>
        <w:bidi/>
        <w:jc w:val="both"/>
        <w:rPr>
          <w:rFonts w:cs="David"/>
          <w:sz w:val="44"/>
          <w:szCs w:val="44"/>
          <w:rtl/>
        </w:rPr>
      </w:pPr>
      <w:r w:rsidRPr="009D3748">
        <w:rPr>
          <w:rFonts w:cs="David" w:hint="cs"/>
          <w:sz w:val="44"/>
          <w:szCs w:val="44"/>
          <w:rtl/>
        </w:rPr>
        <w:t xml:space="preserve">ראש </w:t>
      </w:r>
      <w:r w:rsidR="004A1518" w:rsidRPr="009D3748">
        <w:rPr>
          <w:rFonts w:cs="David" w:hint="cs"/>
          <w:sz w:val="44"/>
          <w:szCs w:val="44"/>
          <w:rtl/>
        </w:rPr>
        <w:t>השנה כו</w:t>
      </w:r>
      <w:r w:rsidR="00B44FB4" w:rsidRPr="009D3748">
        <w:rPr>
          <w:rFonts w:cs="David" w:hint="cs"/>
          <w:sz w:val="44"/>
          <w:szCs w:val="44"/>
          <w:rtl/>
        </w:rPr>
        <w:t>: - תקיעת שופר כתפילה</w:t>
      </w:r>
    </w:p>
    <w:p w:rsidR="00B44FB4" w:rsidRPr="00B44FB4" w:rsidRDefault="00B44FB4" w:rsidP="009D3748">
      <w:pPr>
        <w:pStyle w:val="Heading1"/>
        <w:bidi/>
        <w:jc w:val="both"/>
        <w:rPr>
          <w:rFonts w:cs="David"/>
          <w:rtl/>
        </w:rPr>
      </w:pPr>
      <w:r w:rsidRPr="00B44FB4">
        <w:rPr>
          <w:rFonts w:cs="David"/>
        </w:rPr>
        <w:t>I</w:t>
      </w:r>
      <w:r w:rsidRPr="00B44FB4">
        <w:rPr>
          <w:rFonts w:cs="David" w:hint="cs"/>
          <w:rtl/>
        </w:rPr>
        <w:t>. כפוף</w:t>
      </w:r>
    </w:p>
    <w:p w:rsidR="004A1518" w:rsidRPr="00B44FB4" w:rsidRDefault="004A1518" w:rsidP="009D3748">
      <w:pPr>
        <w:bidi/>
        <w:jc w:val="both"/>
        <w:rPr>
          <w:rFonts w:cs="David"/>
          <w:b/>
          <w:bCs/>
        </w:rPr>
      </w:pPr>
      <w:r w:rsidRPr="00B44FB4">
        <w:rPr>
          <w:rFonts w:cs="David"/>
          <w:b/>
          <w:bCs/>
          <w:rtl/>
        </w:rPr>
        <w:t xml:space="preserve">רמב"ם הלכות שופר וסוכה ולולב פרק א הלכה א </w:t>
      </w:r>
    </w:p>
    <w:p w:rsidR="00933D5F" w:rsidRPr="00B44FB4" w:rsidRDefault="004A1518" w:rsidP="009D3748">
      <w:pPr>
        <w:bidi/>
        <w:jc w:val="both"/>
        <w:rPr>
          <w:rFonts w:cs="David"/>
          <w:rtl/>
        </w:rPr>
      </w:pPr>
      <w:r w:rsidRPr="00B44FB4">
        <w:rPr>
          <w:rFonts w:cs="David"/>
          <w:rtl/>
        </w:rPr>
        <w:t xml:space="preserve">מצות עשה של תורה לשמוע תרועת השופר בראש השנה שנאמר </w:t>
      </w:r>
      <w:r w:rsidR="00933D5F" w:rsidRPr="00B44FB4">
        <w:rPr>
          <w:rFonts w:cs="David" w:hint="cs"/>
          <w:rtl/>
        </w:rPr>
        <w:t>(</w:t>
      </w:r>
      <w:r w:rsidRPr="00B44FB4">
        <w:rPr>
          <w:rFonts w:cs="David"/>
          <w:rtl/>
        </w:rPr>
        <w:t>במדבר כ"ט</w:t>
      </w:r>
      <w:r w:rsidR="00933D5F" w:rsidRPr="00B44FB4">
        <w:rPr>
          <w:rFonts w:cs="David" w:hint="cs"/>
          <w:rtl/>
        </w:rPr>
        <w:t>)</w:t>
      </w:r>
      <w:r w:rsidRPr="00B44FB4">
        <w:rPr>
          <w:rFonts w:cs="David"/>
          <w:rtl/>
        </w:rPr>
        <w:t xml:space="preserve"> יום תרועה יהיה לכם, ושופר שתוקעין בו בין בראש השנה בין ביובל הוא קרן הכבשים </w:t>
      </w:r>
      <w:r w:rsidRPr="00B44FB4">
        <w:rPr>
          <w:rFonts w:cs="David"/>
          <w:u w:val="single"/>
          <w:rtl/>
        </w:rPr>
        <w:t>הכפוף</w:t>
      </w:r>
      <w:r w:rsidRPr="00B44FB4">
        <w:rPr>
          <w:rFonts w:cs="David"/>
          <w:rtl/>
        </w:rPr>
        <w:t>, וכל השופרות פסולין חוץ מקרן הכבש</w:t>
      </w:r>
      <w:r w:rsidR="00933D5F" w:rsidRPr="00B44FB4">
        <w:rPr>
          <w:rFonts w:cs="David" w:hint="cs"/>
          <w:rtl/>
        </w:rPr>
        <w:t>.</w:t>
      </w:r>
      <w:r w:rsidRPr="00B44FB4">
        <w:rPr>
          <w:rFonts w:cs="David"/>
          <w:rtl/>
        </w:rPr>
        <w:t xml:space="preserve"> ואף על פי שלא נתפרש בתורה תרועה בשופר בראש השנה הרי הוא אומר ביובל </w:t>
      </w:r>
      <w:r w:rsidR="00933D5F" w:rsidRPr="00B44FB4">
        <w:rPr>
          <w:rFonts w:cs="David" w:hint="cs"/>
          <w:rtl/>
        </w:rPr>
        <w:t>(</w:t>
      </w:r>
      <w:r w:rsidRPr="00B44FB4">
        <w:rPr>
          <w:rFonts w:cs="David"/>
          <w:rtl/>
        </w:rPr>
        <w:t>ויקרא כ"ה</w:t>
      </w:r>
      <w:r w:rsidR="00933D5F" w:rsidRPr="00B44FB4">
        <w:rPr>
          <w:rFonts w:cs="David" w:hint="cs"/>
          <w:rtl/>
        </w:rPr>
        <w:t>)</w:t>
      </w:r>
      <w:r w:rsidRPr="00B44FB4">
        <w:rPr>
          <w:rFonts w:cs="David"/>
          <w:rtl/>
        </w:rPr>
        <w:t xml:space="preserve"> והעברת שופר תרועה וכו' תעבירו שופר, ומפי השמועה למדו מה תרועת יובל בשופר אף תרועת ראש השנה בשופר. </w:t>
      </w:r>
    </w:p>
    <w:p w:rsidR="00933D5F" w:rsidRPr="00B44FB4" w:rsidRDefault="00933D5F" w:rsidP="009D3748">
      <w:pPr>
        <w:bidi/>
        <w:jc w:val="both"/>
        <w:rPr>
          <w:rFonts w:cs="David"/>
          <w:rtl/>
        </w:rPr>
      </w:pPr>
    </w:p>
    <w:p w:rsidR="00933D5F" w:rsidRPr="00B44FB4" w:rsidRDefault="00933D5F" w:rsidP="009D3748">
      <w:pPr>
        <w:bidi/>
        <w:jc w:val="both"/>
        <w:rPr>
          <w:rFonts w:cs="David"/>
          <w:b/>
          <w:bCs/>
        </w:rPr>
      </w:pPr>
      <w:r w:rsidRPr="00B44FB4">
        <w:rPr>
          <w:rFonts w:cs="David"/>
          <w:b/>
          <w:bCs/>
          <w:rtl/>
        </w:rPr>
        <w:t xml:space="preserve">תלמוד בבלי מסכת יבמות דף קה עמוד ב </w:t>
      </w:r>
    </w:p>
    <w:p w:rsidR="00933D5F" w:rsidRPr="00B44FB4" w:rsidRDefault="00933D5F" w:rsidP="009D3748">
      <w:pPr>
        <w:bidi/>
        <w:jc w:val="both"/>
        <w:rPr>
          <w:rFonts w:cs="David"/>
          <w:rtl/>
        </w:rPr>
      </w:pPr>
      <w:r w:rsidRPr="00B44FB4">
        <w:rPr>
          <w:rFonts w:cs="David"/>
          <w:rtl/>
        </w:rPr>
        <w:t>דר' חייא ור' שמעון בר רבי הוו יתבי, פתח חד מינייהו ואמר: המתפל</w:t>
      </w:r>
      <w:r w:rsidR="00F30872">
        <w:rPr>
          <w:rFonts w:cs="David"/>
          <w:rtl/>
        </w:rPr>
        <w:t xml:space="preserve">ל צריך שיתן עיניו למטה, שנאמר: </w:t>
      </w:r>
      <w:r w:rsidR="00F30872">
        <w:rPr>
          <w:rFonts w:cs="David"/>
        </w:rPr>
        <w:t>)</w:t>
      </w:r>
      <w:r w:rsidRPr="00B44FB4">
        <w:rPr>
          <w:rFonts w:cs="David"/>
          <w:rtl/>
        </w:rPr>
        <w:t>מלכים א' ט'</w:t>
      </w:r>
      <w:r w:rsidR="00F30872">
        <w:rPr>
          <w:rFonts w:cs="David"/>
        </w:rPr>
        <w:t>(</w:t>
      </w:r>
      <w:r w:rsidRPr="00B44FB4">
        <w:rPr>
          <w:rFonts w:cs="David"/>
          <w:rtl/>
        </w:rPr>
        <w:t xml:space="preserve"> והיו עיני ולבי שם כל הימים, וחד אמר: עיניו למעלה, שנאמר: </w:t>
      </w:r>
      <w:r w:rsidR="009D3748">
        <w:rPr>
          <w:rFonts w:cs="David" w:hint="cs"/>
          <w:rtl/>
        </w:rPr>
        <w:t>(</w:t>
      </w:r>
      <w:r w:rsidRPr="00B44FB4">
        <w:rPr>
          <w:rFonts w:cs="David"/>
          <w:rtl/>
        </w:rPr>
        <w:t>איכה ג'</w:t>
      </w:r>
      <w:r w:rsidR="009D3748">
        <w:rPr>
          <w:rFonts w:cs="David" w:hint="cs"/>
          <w:rtl/>
        </w:rPr>
        <w:t>)</w:t>
      </w:r>
      <w:r w:rsidRPr="00B44FB4">
        <w:rPr>
          <w:rFonts w:cs="David"/>
          <w:rtl/>
        </w:rPr>
        <w:t xml:space="preserve"> נשא לבבנו אל כפים. אדהכי אתא ר' ישמעאל בר' יוסי לגבייהו, אמר להו: במאי עסקיתו? אמרו ליה: בתפלה; אמר להו, כך אמר אבא: המתפלל צריך שיתן עיניו למטה ולבו למעלה, כדי שיתקיימו שני מקראות הללו.</w:t>
      </w:r>
    </w:p>
    <w:p w:rsidR="00933D5F" w:rsidRPr="00B44FB4" w:rsidRDefault="00933D5F" w:rsidP="009D3748">
      <w:pPr>
        <w:pStyle w:val="Heading1"/>
        <w:bidi/>
        <w:jc w:val="both"/>
        <w:rPr>
          <w:rFonts w:cs="David"/>
          <w:rtl/>
        </w:rPr>
      </w:pPr>
      <w:r w:rsidRPr="00B44FB4">
        <w:rPr>
          <w:rFonts w:cs="David"/>
        </w:rPr>
        <w:t>I</w:t>
      </w:r>
      <w:r w:rsidR="00B44FB4" w:rsidRPr="00B44FB4">
        <w:rPr>
          <w:rFonts w:cs="David"/>
        </w:rPr>
        <w:t>I</w:t>
      </w:r>
      <w:r w:rsidRPr="00B44FB4">
        <w:rPr>
          <w:rFonts w:cs="David" w:hint="cs"/>
          <w:rtl/>
        </w:rPr>
        <w:t>. בלי כוונה</w:t>
      </w:r>
    </w:p>
    <w:p w:rsidR="004A1518" w:rsidRPr="00B44FB4" w:rsidRDefault="004A1518" w:rsidP="009D3748">
      <w:pPr>
        <w:bidi/>
        <w:jc w:val="both"/>
        <w:rPr>
          <w:rFonts w:cs="David"/>
          <w:b/>
          <w:bCs/>
        </w:rPr>
      </w:pPr>
      <w:r w:rsidRPr="00B44FB4">
        <w:rPr>
          <w:rFonts w:cs="David"/>
          <w:b/>
          <w:bCs/>
          <w:rtl/>
        </w:rPr>
        <w:t xml:space="preserve">תלמוד בבלי מסכת ראש השנה דף כח עמוד א </w:t>
      </w:r>
    </w:p>
    <w:p w:rsidR="004A1518" w:rsidRPr="00B44FB4" w:rsidRDefault="004A1518" w:rsidP="009D3748">
      <w:pPr>
        <w:bidi/>
        <w:jc w:val="both"/>
        <w:rPr>
          <w:rFonts w:cs="David"/>
          <w:rtl/>
        </w:rPr>
      </w:pPr>
      <w:r w:rsidRPr="00B44FB4">
        <w:rPr>
          <w:rFonts w:cs="David"/>
          <w:rtl/>
        </w:rPr>
        <w:t>שלחו ליה לאבוה דשמואל: כפאו ואכל מצה - יצא. כפאו מאן? אילימא כפאו שד - והתניא: עתים חלים עתים שוטה, כשהוא חלים - הרי הוא כפקח לכל דבריו, כשהוא שוטה - הרי הוא כשוטה לכל דבריו! - אמר רב אשי: שכפאוהו פרסיים. אמר רבא, זאת אומרת: התוקע לשיר - יצא. פשיטא, היינו הך? - מהו דתימא: התם אכול מצה אמר רחמנא והא אכל</w:t>
      </w:r>
      <w:r w:rsidRPr="00B44FB4">
        <w:rPr>
          <w:rFonts w:cs="David" w:hint="cs"/>
          <w:rtl/>
        </w:rPr>
        <w:t xml:space="preserve">, </w:t>
      </w:r>
      <w:r w:rsidRPr="00B44FB4">
        <w:rPr>
          <w:rFonts w:cs="David"/>
          <w:rtl/>
        </w:rPr>
        <w:t xml:space="preserve">אבל הכא - </w:t>
      </w:r>
      <w:r w:rsidR="00F30872">
        <w:rPr>
          <w:rFonts w:cs="David"/>
        </w:rPr>
        <w:t>)</w:t>
      </w:r>
      <w:r w:rsidRPr="00B44FB4">
        <w:rPr>
          <w:rFonts w:cs="David"/>
          <w:rtl/>
        </w:rPr>
        <w:t>ויקרא כג</w:t>
      </w:r>
      <w:r w:rsidR="00F30872">
        <w:rPr>
          <w:rFonts w:cs="David"/>
        </w:rPr>
        <w:t>(</w:t>
      </w:r>
      <w:r w:rsidRPr="00B44FB4">
        <w:rPr>
          <w:rFonts w:cs="David"/>
          <w:rtl/>
        </w:rPr>
        <w:t xml:space="preserve"> זכרון תרועה כתיב, והאי מתעסק בעלמא הוא, קא משמע לן. אלמא קסבר רבא: מצות אין צריכות כוונה.</w:t>
      </w:r>
    </w:p>
    <w:p w:rsidR="004A1518" w:rsidRPr="00B44FB4" w:rsidRDefault="004A1518" w:rsidP="009D3748">
      <w:pPr>
        <w:bidi/>
        <w:jc w:val="both"/>
        <w:rPr>
          <w:rFonts w:cs="David"/>
          <w:rtl/>
        </w:rPr>
      </w:pPr>
    </w:p>
    <w:p w:rsidR="004A1518" w:rsidRPr="00B44FB4" w:rsidRDefault="004A1518" w:rsidP="009D3748">
      <w:pPr>
        <w:bidi/>
        <w:jc w:val="both"/>
        <w:rPr>
          <w:rFonts w:cs="David"/>
          <w:b/>
          <w:bCs/>
        </w:rPr>
      </w:pPr>
      <w:r w:rsidRPr="00B44FB4">
        <w:rPr>
          <w:rFonts w:cs="David"/>
          <w:b/>
          <w:bCs/>
          <w:rtl/>
        </w:rPr>
        <w:t xml:space="preserve">תלמוד בבלי מסכת סוכה דף כט עמוד ב </w:t>
      </w:r>
    </w:p>
    <w:p w:rsidR="004A1518" w:rsidRPr="00B44FB4" w:rsidRDefault="004A1518" w:rsidP="009D3748">
      <w:pPr>
        <w:bidi/>
        <w:jc w:val="both"/>
        <w:rPr>
          <w:rFonts w:cs="David"/>
          <w:rtl/>
        </w:rPr>
      </w:pPr>
      <w:r w:rsidRPr="00B44FB4">
        <w:rPr>
          <w:rFonts w:cs="David"/>
          <w:rtl/>
        </w:rPr>
        <w:t xml:space="preserve">לולב שיש בו שלשה טפחים כדי לנענע בו - כשר. </w:t>
      </w:r>
    </w:p>
    <w:p w:rsidR="004A1518" w:rsidRPr="00B44FB4" w:rsidRDefault="00933D5F" w:rsidP="009D3748">
      <w:pPr>
        <w:pStyle w:val="Heading1"/>
        <w:bidi/>
        <w:jc w:val="both"/>
        <w:rPr>
          <w:rFonts w:cs="David"/>
          <w:rtl/>
        </w:rPr>
      </w:pPr>
      <w:r w:rsidRPr="00B44FB4">
        <w:rPr>
          <w:rFonts w:cs="David"/>
        </w:rPr>
        <w:t>II</w:t>
      </w:r>
      <w:r w:rsidR="00B44FB4" w:rsidRPr="00B44FB4">
        <w:rPr>
          <w:rFonts w:cs="David"/>
        </w:rPr>
        <w:t>I</w:t>
      </w:r>
      <w:r w:rsidRPr="00B44FB4">
        <w:rPr>
          <w:rFonts w:cs="David" w:hint="cs"/>
          <w:rtl/>
        </w:rPr>
        <w:t>. פסוקים דאורייתא או דרבנן</w:t>
      </w:r>
    </w:p>
    <w:p w:rsidR="004A1518" w:rsidRPr="00B44FB4" w:rsidRDefault="004A1518" w:rsidP="009D3748">
      <w:pPr>
        <w:bidi/>
        <w:jc w:val="both"/>
        <w:rPr>
          <w:rFonts w:cs="David"/>
          <w:b/>
          <w:bCs/>
        </w:rPr>
      </w:pPr>
      <w:r w:rsidRPr="00B44FB4">
        <w:rPr>
          <w:rFonts w:cs="David"/>
          <w:b/>
          <w:bCs/>
          <w:rtl/>
        </w:rPr>
        <w:t xml:space="preserve">ויקרא פרק כג פסוק כד </w:t>
      </w:r>
    </w:p>
    <w:p w:rsidR="004A1518" w:rsidRPr="00B44FB4" w:rsidRDefault="004A1518" w:rsidP="009D3748">
      <w:pPr>
        <w:bidi/>
        <w:jc w:val="both"/>
        <w:rPr>
          <w:rFonts w:cs="David"/>
          <w:rtl/>
        </w:rPr>
      </w:pPr>
      <w:r w:rsidRPr="00B44FB4">
        <w:rPr>
          <w:rFonts w:cs="David"/>
          <w:rtl/>
        </w:rPr>
        <w:t>דַּבֵּר אֶל בְּנֵי יִשְׂרָאֵל לֵאמֹר בַּחֹדֶשׁ הַשְּׁבִיעִי בְּאֶחָד לַחֹדֶשׁ יִהְיֶה לָכֶם שַׁבָּתוֹן זִכְרוֹן תְּרוּעָה מִקְרָא קֹדֶשׁ:</w:t>
      </w:r>
    </w:p>
    <w:p w:rsidR="004A1518" w:rsidRPr="00B44FB4" w:rsidRDefault="004A1518" w:rsidP="009D3748">
      <w:pPr>
        <w:bidi/>
        <w:jc w:val="both"/>
        <w:rPr>
          <w:rFonts w:cs="David"/>
          <w:rtl/>
        </w:rPr>
      </w:pPr>
    </w:p>
    <w:p w:rsidR="004A1518" w:rsidRPr="00B44FB4" w:rsidRDefault="004A1518" w:rsidP="009D3748">
      <w:pPr>
        <w:bidi/>
        <w:jc w:val="both"/>
        <w:rPr>
          <w:rFonts w:cs="David"/>
          <w:b/>
          <w:bCs/>
        </w:rPr>
      </w:pPr>
      <w:r w:rsidRPr="00B44FB4">
        <w:rPr>
          <w:rFonts w:cs="David"/>
          <w:b/>
          <w:bCs/>
          <w:rtl/>
        </w:rPr>
        <w:t xml:space="preserve">רמב"ן ויקרא פרק כג פסוק כד </w:t>
      </w:r>
    </w:p>
    <w:p w:rsidR="004A1518" w:rsidRPr="00B44FB4" w:rsidRDefault="004A1518" w:rsidP="009D3748">
      <w:pPr>
        <w:bidi/>
        <w:jc w:val="both"/>
        <w:rPr>
          <w:rFonts w:cs="David"/>
          <w:rtl/>
        </w:rPr>
      </w:pPr>
      <w:r w:rsidRPr="00B44FB4">
        <w:rPr>
          <w:rFonts w:cs="David"/>
          <w:rtl/>
        </w:rPr>
        <w:t>זכרון תרועה - פסוקי זכרונות ופסוקי שופרות לזכור לכם עקדת יצחק שקרב תחתיו איל, לשון רש"י. והיה צריך הרב להביא גם פסוקי המלכיות מן המדרש, שלא יתכן שיזכיר הכתוב פסוקי הזכרונות ושופרות ולא יזכיר המלכיות, וכבר דרשו אותם מפסוק והיו לכם לזכרון לפני ה' אלהיכם (במדבר י</w:t>
      </w:r>
      <w:r w:rsidR="009D3748">
        <w:rPr>
          <w:rFonts w:cs="David" w:hint="cs"/>
          <w:rtl/>
        </w:rPr>
        <w:t>:</w:t>
      </w:r>
      <w:r w:rsidRPr="00B44FB4">
        <w:rPr>
          <w:rFonts w:cs="David"/>
          <w:rtl/>
        </w:rPr>
        <w:t>י), שאין תלמוד לומר אני ה' אלהיכם, ומה תלמוד לומר אני ה' אלהיכם, אלא זה בנין אב כל מקום שאתה אומר זכרונות אתה סומך להם את המלכיות, כדאיתא בת"כ  ובמסכת ראש השנה (לב</w:t>
      </w:r>
      <w:r w:rsidR="009D3748">
        <w:rPr>
          <w:rFonts w:cs="David" w:hint="cs"/>
          <w:rtl/>
        </w:rPr>
        <w:t>.</w:t>
      </w:r>
      <w:r w:rsidRPr="00B44FB4">
        <w:rPr>
          <w:rFonts w:cs="David"/>
          <w:rtl/>
        </w:rPr>
        <w:t>).</w:t>
      </w:r>
    </w:p>
    <w:p w:rsidR="009D3748" w:rsidRDefault="004A1518" w:rsidP="009D3748">
      <w:pPr>
        <w:bidi/>
        <w:jc w:val="both"/>
        <w:rPr>
          <w:rFonts w:cs="David" w:hint="cs"/>
          <w:rtl/>
        </w:rPr>
      </w:pPr>
      <w:r w:rsidRPr="00B44FB4">
        <w:rPr>
          <w:rFonts w:cs="David"/>
          <w:rtl/>
        </w:rPr>
        <w:t>אבל כל זה אס</w:t>
      </w:r>
      <w:r w:rsidR="009D3748">
        <w:rPr>
          <w:rFonts w:cs="David"/>
          <w:rtl/>
        </w:rPr>
        <w:t>מכתא מדבריהם, ומפורש אמרו (שם ל</w:t>
      </w:r>
      <w:r w:rsidR="009D3748">
        <w:rPr>
          <w:rFonts w:cs="David" w:hint="cs"/>
          <w:rtl/>
        </w:rPr>
        <w:t>ב:</w:t>
      </w:r>
      <w:r w:rsidR="009D3748">
        <w:rPr>
          <w:rFonts w:cs="David"/>
          <w:rtl/>
        </w:rPr>
        <w:t>)</w:t>
      </w:r>
      <w:r w:rsidR="009D3748">
        <w:rPr>
          <w:rFonts w:cs="David" w:hint="cs"/>
          <w:rtl/>
        </w:rPr>
        <w:t>...</w:t>
      </w:r>
    </w:p>
    <w:p w:rsidR="004A1518" w:rsidRDefault="004A1518" w:rsidP="009D3748">
      <w:pPr>
        <w:bidi/>
        <w:jc w:val="both"/>
        <w:rPr>
          <w:rFonts w:cs="David" w:hint="cs"/>
          <w:rtl/>
        </w:rPr>
      </w:pPr>
      <w:r w:rsidRPr="00B44FB4">
        <w:rPr>
          <w:rFonts w:cs="David"/>
          <w:rtl/>
        </w:rPr>
        <w:t xml:space="preserve">אבל "זכרון תרועה", כמו יום תרועה יהיה לכם (במדבר כט א), יאמר שנריע ביום הזה ויהיה לנו לזכרון לפני השם, כמו שנאמר להלן (שם י י) ותקעתם בחצוצרות והיו לכם לזכרון לפני אלהיכם. </w:t>
      </w:r>
    </w:p>
    <w:p w:rsidR="009D3748" w:rsidRPr="00B44FB4" w:rsidRDefault="009D3748" w:rsidP="009D3748">
      <w:pPr>
        <w:bidi/>
        <w:jc w:val="both"/>
        <w:rPr>
          <w:rFonts w:cs="David"/>
          <w:rtl/>
        </w:rPr>
      </w:pPr>
    </w:p>
    <w:p w:rsidR="004A1518" w:rsidRPr="00B44FB4" w:rsidRDefault="004A1518" w:rsidP="009D3748">
      <w:pPr>
        <w:bidi/>
        <w:jc w:val="both"/>
        <w:rPr>
          <w:rFonts w:cs="David"/>
          <w:b/>
          <w:bCs/>
        </w:rPr>
      </w:pPr>
      <w:r w:rsidRPr="00B44FB4">
        <w:rPr>
          <w:rFonts w:cs="David"/>
          <w:b/>
          <w:bCs/>
          <w:rtl/>
        </w:rPr>
        <w:t xml:space="preserve">תלמוד בבלי מסכת ראש השנה דף לד עמוד ב </w:t>
      </w:r>
    </w:p>
    <w:p w:rsidR="004A1518" w:rsidRPr="00B44FB4" w:rsidRDefault="004A1518" w:rsidP="009D3748">
      <w:pPr>
        <w:bidi/>
        <w:jc w:val="both"/>
        <w:rPr>
          <w:rFonts w:cs="David"/>
          <w:rtl/>
        </w:rPr>
      </w:pPr>
      <w:r w:rsidRPr="00B44FB4">
        <w:rPr>
          <w:rFonts w:cs="David"/>
          <w:rtl/>
        </w:rPr>
        <w:t>ומצוה בתוקעין יותר מן המברכין. כיצד? שתי עיירות, באחת תוקעין ובאחת מברכין - הולכין למקום שתוקעין, ואין הולכין למקום שמברכין. פשיטא! הא דאורייתא הא דרבנן! - לא צריכא, דאף על גב דהא ודאי והא ספק.</w:t>
      </w:r>
    </w:p>
    <w:p w:rsidR="00B44FB4" w:rsidRPr="00B44FB4" w:rsidRDefault="00B44FB4" w:rsidP="009D3748">
      <w:pPr>
        <w:bidi/>
        <w:jc w:val="both"/>
        <w:rPr>
          <w:rFonts w:cs="David"/>
          <w:rtl/>
        </w:rPr>
      </w:pPr>
    </w:p>
    <w:p w:rsidR="00B44FB4" w:rsidRPr="00B44FB4" w:rsidRDefault="00B44FB4" w:rsidP="009D3748">
      <w:pPr>
        <w:bidi/>
        <w:jc w:val="both"/>
        <w:rPr>
          <w:rFonts w:cs="David"/>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8"/>
        <w:gridCol w:w="4428"/>
      </w:tblGrid>
      <w:tr w:rsidR="00B44FB4" w:rsidRPr="00B44FB4" w:rsidTr="00B44FB4">
        <w:tc>
          <w:tcPr>
            <w:tcW w:w="4428" w:type="dxa"/>
          </w:tcPr>
          <w:p w:rsidR="009D3748" w:rsidRDefault="00F30872" w:rsidP="009D3748">
            <w:pPr>
              <w:bidi/>
              <w:jc w:val="both"/>
              <w:rPr>
                <w:rFonts w:cs="David" w:hint="cs"/>
                <w:noProof/>
                <w:rtl/>
              </w:rPr>
            </w:pPr>
            <w:r w:rsidRPr="00B44FB4">
              <w:rPr>
                <w:rFonts w:cs="David" w:hint="cs"/>
                <w:b/>
                <w:bCs/>
                <w:rtl/>
              </w:rPr>
              <w:lastRenderedPageBreak/>
              <w:t>הררי קדם סימן ז</w:t>
            </w:r>
            <w:r w:rsidRPr="00B44FB4">
              <w:rPr>
                <w:rFonts w:cs="David"/>
                <w:noProof/>
              </w:rPr>
              <w:t xml:space="preserve"> </w:t>
            </w:r>
          </w:p>
          <w:p w:rsidR="00B44FB4" w:rsidRPr="00B44FB4" w:rsidRDefault="00B44FB4" w:rsidP="009D3748">
            <w:pPr>
              <w:bidi/>
              <w:jc w:val="both"/>
              <w:rPr>
                <w:rFonts w:cs="David"/>
                <w:b/>
                <w:bCs/>
                <w:rtl/>
              </w:rPr>
            </w:pPr>
            <w:r w:rsidRPr="00B44FB4">
              <w:rPr>
                <w:rFonts w:cs="David"/>
                <w:noProof/>
              </w:rPr>
              <w:drawing>
                <wp:inline distT="0" distB="0" distL="0" distR="0" wp14:anchorId="4959185F" wp14:editId="7A08C01C">
                  <wp:extent cx="2303298" cy="2470089"/>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01818" cy="2468502"/>
                          </a:xfrm>
                          <a:prstGeom prst="rect">
                            <a:avLst/>
                          </a:prstGeom>
                        </pic:spPr>
                      </pic:pic>
                    </a:graphicData>
                  </a:graphic>
                </wp:inline>
              </w:drawing>
            </w:r>
          </w:p>
          <w:p w:rsidR="00B44FB4" w:rsidRPr="00B44FB4" w:rsidRDefault="00B44FB4" w:rsidP="009D3748">
            <w:pPr>
              <w:bidi/>
              <w:jc w:val="both"/>
              <w:rPr>
                <w:rFonts w:cs="David"/>
                <w:b/>
                <w:bCs/>
                <w:rtl/>
              </w:rPr>
            </w:pPr>
            <w:r w:rsidRPr="00B44FB4">
              <w:rPr>
                <w:rFonts w:cs="David"/>
                <w:noProof/>
              </w:rPr>
              <w:drawing>
                <wp:inline distT="0" distB="0" distL="0" distR="0" wp14:anchorId="1A63B0FC" wp14:editId="7D897389">
                  <wp:extent cx="2388758" cy="1912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91437" cy="1914765"/>
                          </a:xfrm>
                          <a:prstGeom prst="rect">
                            <a:avLst/>
                          </a:prstGeom>
                        </pic:spPr>
                      </pic:pic>
                    </a:graphicData>
                  </a:graphic>
                </wp:inline>
              </w:drawing>
            </w:r>
          </w:p>
        </w:tc>
        <w:tc>
          <w:tcPr>
            <w:tcW w:w="4428" w:type="dxa"/>
          </w:tcPr>
          <w:p w:rsidR="00B44FB4" w:rsidRPr="00B44FB4" w:rsidRDefault="00B44FB4" w:rsidP="009D3748">
            <w:pPr>
              <w:bidi/>
              <w:jc w:val="both"/>
              <w:rPr>
                <w:rFonts w:cs="David"/>
                <w:b/>
                <w:bCs/>
                <w:rtl/>
              </w:rPr>
            </w:pPr>
            <w:r w:rsidRPr="00B44FB4">
              <w:rPr>
                <w:rFonts w:cs="David"/>
                <w:noProof/>
              </w:rPr>
              <w:drawing>
                <wp:inline distT="0" distB="0" distL="0" distR="0" wp14:anchorId="1D224442" wp14:editId="46A16A9F">
                  <wp:extent cx="2499360" cy="2499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97620" cy="2497620"/>
                          </a:xfrm>
                          <a:prstGeom prst="rect">
                            <a:avLst/>
                          </a:prstGeom>
                        </pic:spPr>
                      </pic:pic>
                    </a:graphicData>
                  </a:graphic>
                </wp:inline>
              </w:drawing>
            </w:r>
          </w:p>
          <w:p w:rsidR="00B44FB4" w:rsidRPr="00B44FB4" w:rsidRDefault="00B44FB4" w:rsidP="009D3748">
            <w:pPr>
              <w:bidi/>
              <w:jc w:val="both"/>
              <w:rPr>
                <w:rFonts w:cs="David"/>
                <w:b/>
                <w:bCs/>
                <w:rtl/>
              </w:rPr>
            </w:pPr>
            <w:r w:rsidRPr="00B44FB4">
              <w:rPr>
                <w:rFonts w:cs="David"/>
                <w:noProof/>
              </w:rPr>
              <w:drawing>
                <wp:inline distT="0" distB="0" distL="0" distR="0" wp14:anchorId="39843D03" wp14:editId="21258178">
                  <wp:extent cx="2461260" cy="20029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64725" cy="2005777"/>
                          </a:xfrm>
                          <a:prstGeom prst="rect">
                            <a:avLst/>
                          </a:prstGeom>
                        </pic:spPr>
                      </pic:pic>
                    </a:graphicData>
                  </a:graphic>
                </wp:inline>
              </w:drawing>
            </w:r>
          </w:p>
          <w:p w:rsidR="00B44FB4" w:rsidRPr="00B44FB4" w:rsidRDefault="00B44FB4" w:rsidP="009D3748">
            <w:pPr>
              <w:bidi/>
              <w:jc w:val="both"/>
              <w:rPr>
                <w:rFonts w:cs="David"/>
                <w:b/>
                <w:bCs/>
                <w:rtl/>
              </w:rPr>
            </w:pPr>
            <w:r w:rsidRPr="00B44FB4">
              <w:rPr>
                <w:rFonts w:cs="David"/>
                <w:noProof/>
              </w:rPr>
              <w:drawing>
                <wp:inline distT="0" distB="0" distL="0" distR="0" wp14:anchorId="36E4A938" wp14:editId="7D3C8DE6">
                  <wp:extent cx="2298801" cy="373182"/>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16839" cy="376110"/>
                          </a:xfrm>
                          <a:prstGeom prst="rect">
                            <a:avLst/>
                          </a:prstGeom>
                        </pic:spPr>
                      </pic:pic>
                    </a:graphicData>
                  </a:graphic>
                </wp:inline>
              </w:drawing>
            </w:r>
          </w:p>
        </w:tc>
      </w:tr>
    </w:tbl>
    <w:p w:rsidR="00933D5F" w:rsidRPr="00B44FB4" w:rsidRDefault="00B44FB4" w:rsidP="009D3748">
      <w:pPr>
        <w:pStyle w:val="Heading1"/>
        <w:bidi/>
        <w:jc w:val="both"/>
        <w:rPr>
          <w:rFonts w:cs="David"/>
          <w:rtl/>
        </w:rPr>
      </w:pPr>
      <w:r w:rsidRPr="00B44FB4">
        <w:rPr>
          <w:rFonts w:cs="David"/>
        </w:rPr>
        <w:t>IV</w:t>
      </w:r>
      <w:r w:rsidR="00933D5F" w:rsidRPr="00B44FB4">
        <w:rPr>
          <w:rFonts w:cs="David" w:hint="cs"/>
          <w:rtl/>
        </w:rPr>
        <w:t>. כבפנים דמי</w:t>
      </w:r>
    </w:p>
    <w:p w:rsidR="00933D5F" w:rsidRPr="00B44FB4" w:rsidRDefault="00933D5F" w:rsidP="009D3748">
      <w:pPr>
        <w:bidi/>
        <w:jc w:val="both"/>
        <w:rPr>
          <w:rFonts w:cs="David"/>
          <w:b/>
          <w:bCs/>
          <w:rtl/>
        </w:rPr>
      </w:pPr>
      <w:r w:rsidRPr="00B44FB4">
        <w:rPr>
          <w:rFonts w:cs="David"/>
          <w:b/>
          <w:bCs/>
          <w:rtl/>
        </w:rPr>
        <w:t xml:space="preserve">תלמוד בבלי מסכת ראש השנה דף כו עמוד א </w:t>
      </w:r>
    </w:p>
    <w:p w:rsidR="00933D5F" w:rsidRPr="00B44FB4" w:rsidRDefault="00933D5F" w:rsidP="009D3748">
      <w:pPr>
        <w:bidi/>
        <w:jc w:val="both"/>
        <w:rPr>
          <w:rFonts w:cs="David"/>
          <w:rtl/>
        </w:rPr>
      </w:pPr>
      <w:r w:rsidRPr="00B44FB4">
        <w:rPr>
          <w:rFonts w:cs="David"/>
          <w:rtl/>
        </w:rPr>
        <w:t xml:space="preserve">משנה. כל השופרות כשרים, חוץ משל פרה מפני שהוא קרן. אמר רבי יוסי: והלא כל השופרות נקראו קרן, שנאמר </w:t>
      </w:r>
      <w:r w:rsidR="009D3748">
        <w:rPr>
          <w:rFonts w:cs="David" w:hint="cs"/>
          <w:rtl/>
        </w:rPr>
        <w:t>(</w:t>
      </w:r>
      <w:r w:rsidRPr="00B44FB4">
        <w:rPr>
          <w:rFonts w:cs="David"/>
          <w:rtl/>
        </w:rPr>
        <w:t>יהושע ו</w:t>
      </w:r>
      <w:r w:rsidR="009D3748">
        <w:rPr>
          <w:rFonts w:cs="David" w:hint="cs"/>
          <w:rtl/>
        </w:rPr>
        <w:t>)</w:t>
      </w:r>
      <w:r w:rsidRPr="00B44FB4">
        <w:rPr>
          <w:rFonts w:cs="David"/>
          <w:rtl/>
        </w:rPr>
        <w:t xml:space="preserve"> במשך בקרן היובל.</w:t>
      </w:r>
    </w:p>
    <w:p w:rsidR="00933D5F" w:rsidRPr="00B44FB4" w:rsidRDefault="00933D5F" w:rsidP="009D3748">
      <w:pPr>
        <w:bidi/>
        <w:jc w:val="both"/>
        <w:rPr>
          <w:rFonts w:cs="David"/>
          <w:rtl/>
        </w:rPr>
      </w:pPr>
      <w:r w:rsidRPr="00B44FB4">
        <w:rPr>
          <w:rFonts w:cs="David" w:hint="cs"/>
          <w:rtl/>
        </w:rPr>
        <w:t>גמ'...</w:t>
      </w:r>
      <w:r w:rsidRPr="00B44FB4">
        <w:rPr>
          <w:rFonts w:cs="David"/>
          <w:rtl/>
        </w:rPr>
        <w:t xml:space="preserve">עולא אמר: היינו טעמא דרבנן - כדרב חסדא. דאמר רב חסדא: מפני מה אין כהן גדול נכנס בבגדי זהב לפני ולפנים לעבוד עבודה - לפי שאין קטיגור נעשה סניגור. - ולא? </w:t>
      </w:r>
      <w:r w:rsidRPr="00B44FB4">
        <w:rPr>
          <w:rFonts w:cs="David" w:hint="cs"/>
          <w:rtl/>
        </w:rPr>
        <w:t>...</w:t>
      </w:r>
      <w:r w:rsidRPr="00B44FB4">
        <w:rPr>
          <w:rFonts w:cs="David"/>
          <w:rtl/>
        </w:rPr>
        <w:t>והא איכא בגדי זהב מבחוץ! - מבפנים קא אמרינן. - שופר נמי מבחוץ הוא! - כיון דלזכרון הוא - כבפנים דמי.</w:t>
      </w:r>
    </w:p>
    <w:p w:rsidR="00933D5F" w:rsidRPr="00B44FB4" w:rsidRDefault="00933D5F" w:rsidP="009D3748">
      <w:pPr>
        <w:bidi/>
        <w:jc w:val="both"/>
        <w:rPr>
          <w:rFonts w:cs="David"/>
          <w:rtl/>
        </w:rPr>
      </w:pPr>
    </w:p>
    <w:p w:rsidR="00933D5F" w:rsidRPr="00B44FB4" w:rsidRDefault="00933D5F" w:rsidP="009D3748">
      <w:pPr>
        <w:bidi/>
        <w:jc w:val="both"/>
        <w:rPr>
          <w:rFonts w:cs="David"/>
          <w:b/>
          <w:bCs/>
        </w:rPr>
      </w:pPr>
      <w:r w:rsidRPr="00B44FB4">
        <w:rPr>
          <w:rFonts w:cs="David"/>
          <w:b/>
          <w:bCs/>
          <w:rtl/>
        </w:rPr>
        <w:t xml:space="preserve">רמב"ם הלכות תפילה ונשיאת כפים פרק ד הלכה טז </w:t>
      </w:r>
    </w:p>
    <w:p w:rsidR="00933D5F" w:rsidRPr="00B44FB4" w:rsidRDefault="00933D5F" w:rsidP="009D3748">
      <w:pPr>
        <w:bidi/>
        <w:jc w:val="both"/>
        <w:rPr>
          <w:rFonts w:cs="David"/>
        </w:rPr>
      </w:pPr>
      <w:r w:rsidRPr="00B44FB4">
        <w:rPr>
          <w:rFonts w:cs="David"/>
          <w:rtl/>
        </w:rPr>
        <w:t>כיצד היא הכוונה שיפנה את לבו מכל המחשבות ויראה עצמו כאלו הוא עומד לפני השכינה, לפיכך צריך לישב מעט קודם התפלה כדי לכוין את לבו ואחר כך יתפלל בנחת ובתחנונים ולא יעשה תפלתו כמי שהיה נושא משאוי ומשליכו והולך לו, לפיכך צריך לישב מעט אחר התפלה ואחר כך יפטר, חסידים הראשונים היו שוהין שעה אחת קודם תפלה ושעה אחת לאחר תפלה ומאריכין בתפלה שעה.</w:t>
      </w:r>
    </w:p>
    <w:p w:rsidR="00933D5F" w:rsidRPr="00B44FB4" w:rsidRDefault="00933D5F" w:rsidP="009D3748">
      <w:pPr>
        <w:bidi/>
        <w:jc w:val="both"/>
        <w:rPr>
          <w:rFonts w:cs="David"/>
          <w:rtl/>
        </w:rPr>
      </w:pPr>
    </w:p>
    <w:p w:rsidR="00933D5F" w:rsidRPr="00B44FB4" w:rsidRDefault="00933D5F" w:rsidP="009D3748">
      <w:pPr>
        <w:bidi/>
        <w:jc w:val="both"/>
        <w:rPr>
          <w:rFonts w:cs="David"/>
          <w:b/>
          <w:bCs/>
        </w:rPr>
      </w:pPr>
      <w:r w:rsidRPr="00B44FB4">
        <w:rPr>
          <w:rFonts w:cs="David"/>
          <w:b/>
          <w:bCs/>
          <w:rtl/>
        </w:rPr>
        <w:t xml:space="preserve">רמב"ם הלכות תפילה ונשיאת כפים פרק ה הלכה ד </w:t>
      </w:r>
    </w:p>
    <w:p w:rsidR="00933D5F" w:rsidRPr="00B44FB4" w:rsidRDefault="00933D5F" w:rsidP="009D3748">
      <w:pPr>
        <w:bidi/>
        <w:jc w:val="both"/>
        <w:rPr>
          <w:rFonts w:cs="David"/>
        </w:rPr>
      </w:pPr>
      <w:r w:rsidRPr="00B44FB4">
        <w:rPr>
          <w:rFonts w:cs="David"/>
          <w:rtl/>
        </w:rPr>
        <w:t>תקון הגוף כיצד כשהוא עומד בתפלה צריך לכוין את רגליו זו בצד זו ונותן עיניו למטה כאילו הוא מביט לארץ, ויהיה לבו פנוי למעלה כאילו הוא עומד בשמים ומניח ידיו על לבו כפותין הימנית על השמאלית ועומד כעבד לפני רבו באימה ביראה ופחד ולא יניח ידיו על חלציו.</w:t>
      </w:r>
      <w:bookmarkStart w:id="0" w:name="_GoBack"/>
      <w:bookmarkEnd w:id="0"/>
    </w:p>
    <w:sectPr w:rsidR="00933D5F" w:rsidRPr="00B44FB4" w:rsidSect="00F30872">
      <w:footerReference w:type="even" r:id="rId12"/>
      <w:footerReference w:type="defaul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D8" w:rsidRDefault="006350D8">
      <w:r>
        <w:separator/>
      </w:r>
    </w:p>
  </w:endnote>
  <w:endnote w:type="continuationSeparator" w:id="0">
    <w:p w:rsidR="006350D8" w:rsidRDefault="0063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5" w:rsidRDefault="00FF7FC5" w:rsidP="00861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FC5" w:rsidRDefault="00FF7FC5" w:rsidP="00FF7F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5" w:rsidRDefault="00FF7FC5" w:rsidP="00861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748">
      <w:rPr>
        <w:rStyle w:val="PageNumber"/>
        <w:noProof/>
      </w:rPr>
      <w:t>2</w:t>
    </w:r>
    <w:r>
      <w:rPr>
        <w:rStyle w:val="PageNumber"/>
      </w:rPr>
      <w:fldChar w:fldCharType="end"/>
    </w:r>
  </w:p>
  <w:p w:rsidR="00FF7FC5" w:rsidRDefault="00FF7FC5" w:rsidP="00FF7F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D8" w:rsidRDefault="006350D8">
      <w:r>
        <w:separator/>
      </w:r>
    </w:p>
  </w:footnote>
  <w:footnote w:type="continuationSeparator" w:id="0">
    <w:p w:rsidR="006350D8" w:rsidRDefault="00635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93"/>
    <w:rsid w:val="004A1518"/>
    <w:rsid w:val="00563D15"/>
    <w:rsid w:val="006350D8"/>
    <w:rsid w:val="007F2FF0"/>
    <w:rsid w:val="00861776"/>
    <w:rsid w:val="00933D5F"/>
    <w:rsid w:val="009D3748"/>
    <w:rsid w:val="00AE2C3C"/>
    <w:rsid w:val="00B44FB4"/>
    <w:rsid w:val="00C259AF"/>
    <w:rsid w:val="00D2377D"/>
    <w:rsid w:val="00DF01F3"/>
    <w:rsid w:val="00ED3193"/>
    <w:rsid w:val="00F30872"/>
    <w:rsid w:val="00FF7F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33D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FC5"/>
    <w:pPr>
      <w:tabs>
        <w:tab w:val="center" w:pos="4320"/>
        <w:tab w:val="right" w:pos="8640"/>
      </w:tabs>
    </w:pPr>
  </w:style>
  <w:style w:type="character" w:styleId="PageNumber">
    <w:name w:val="page number"/>
    <w:basedOn w:val="DefaultParagraphFont"/>
    <w:rsid w:val="00FF7FC5"/>
  </w:style>
  <w:style w:type="character" w:customStyle="1" w:styleId="Heading1Char">
    <w:name w:val="Heading 1 Char"/>
    <w:basedOn w:val="DefaultParagraphFont"/>
    <w:link w:val="Heading1"/>
    <w:rsid w:val="00933D5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B44FB4"/>
    <w:rPr>
      <w:rFonts w:ascii="Tahoma" w:hAnsi="Tahoma" w:cs="Tahoma"/>
      <w:sz w:val="16"/>
      <w:szCs w:val="16"/>
    </w:rPr>
  </w:style>
  <w:style w:type="character" w:customStyle="1" w:styleId="BalloonTextChar">
    <w:name w:val="Balloon Text Char"/>
    <w:basedOn w:val="DefaultParagraphFont"/>
    <w:link w:val="BalloonText"/>
    <w:rsid w:val="00B44FB4"/>
    <w:rPr>
      <w:rFonts w:ascii="Tahoma" w:hAnsi="Tahoma" w:cs="Tahoma"/>
      <w:sz w:val="16"/>
      <w:szCs w:val="16"/>
    </w:rPr>
  </w:style>
  <w:style w:type="table" w:styleId="TableGrid">
    <w:name w:val="Table Grid"/>
    <w:basedOn w:val="TableNormal"/>
    <w:rsid w:val="00B4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44F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44FB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33D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FC5"/>
    <w:pPr>
      <w:tabs>
        <w:tab w:val="center" w:pos="4320"/>
        <w:tab w:val="right" w:pos="8640"/>
      </w:tabs>
    </w:pPr>
  </w:style>
  <w:style w:type="character" w:styleId="PageNumber">
    <w:name w:val="page number"/>
    <w:basedOn w:val="DefaultParagraphFont"/>
    <w:rsid w:val="00FF7FC5"/>
  </w:style>
  <w:style w:type="character" w:customStyle="1" w:styleId="Heading1Char">
    <w:name w:val="Heading 1 Char"/>
    <w:basedOn w:val="DefaultParagraphFont"/>
    <w:link w:val="Heading1"/>
    <w:rsid w:val="00933D5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B44FB4"/>
    <w:rPr>
      <w:rFonts w:ascii="Tahoma" w:hAnsi="Tahoma" w:cs="Tahoma"/>
      <w:sz w:val="16"/>
      <w:szCs w:val="16"/>
    </w:rPr>
  </w:style>
  <w:style w:type="character" w:customStyle="1" w:styleId="BalloonTextChar">
    <w:name w:val="Balloon Text Char"/>
    <w:basedOn w:val="DefaultParagraphFont"/>
    <w:link w:val="BalloonText"/>
    <w:rsid w:val="00B44FB4"/>
    <w:rPr>
      <w:rFonts w:ascii="Tahoma" w:hAnsi="Tahoma" w:cs="Tahoma"/>
      <w:sz w:val="16"/>
      <w:szCs w:val="16"/>
    </w:rPr>
  </w:style>
  <w:style w:type="table" w:styleId="TableGrid">
    <w:name w:val="Table Grid"/>
    <w:basedOn w:val="TableNormal"/>
    <w:rsid w:val="00B4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44F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44FB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2</cp:revision>
  <dcterms:created xsi:type="dcterms:W3CDTF">2014-03-20T06:23:00Z</dcterms:created>
  <dcterms:modified xsi:type="dcterms:W3CDTF">2014-03-23T21:07:00Z</dcterms:modified>
</cp:coreProperties>
</file>