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נידונים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</w:t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מהרש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אגדות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ישמעאל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בארבעה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לשאול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דבשלמא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תבואה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ופירות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בזמנו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למדנו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דתניא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באלול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נברא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נברא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בתשרי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לבניך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עתידין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עומדין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ואכתי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תמיהא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דתינח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דבתשרי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נברא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בניסן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נברא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באורך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מספיק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ידענא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אכתי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לחדש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דכמה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נעשו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נפקדה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רחל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וחנה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האסורין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ובטלה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עבודה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מאבותינו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במצרים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בהדיא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בפירקין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דזכרון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לפניו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והחתימה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נתרצה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לכפר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העגל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נברא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לכוון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הפסוקים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למשפטיך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מיניה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כוננת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ארץ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ותעמוד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שכוננת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ארץ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ונגמרה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הבריאה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למשפטיך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וחוה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לפניך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עבדיך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לבניו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לדורות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עבדיך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לדונם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עבדיך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מלכנו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ריטב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כמאן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מצלינן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האידנא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'.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״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תיפוק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מצלינן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האידנא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רפאנו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׳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ונרפא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תפלת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״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״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דצרכי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״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מצלינן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דגזר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דצבור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דיחיד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דקשיא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ואסיקנ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׳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׳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כרבנן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׳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יצחק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ביחיד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צעקה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גזר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אוקמיתא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סוגיין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דוכתא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דתלמודא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״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הלכתא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׳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מנהגא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דמצלינן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אקצירי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ואמריעי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מצלינן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במסוכן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ליומו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כדכתי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׳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בתעניות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״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״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וגזר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״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לשאול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לחתימה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פלוני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זכאי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ופלוני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״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״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זכאי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גוזרין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להענישו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״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תוס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מצלינן</w:t>
      </w:r>
    </w:p>
    <w:p w:rsidR="00000000" w:rsidDel="00000000" w:rsidP="00000000" w:rsidRDefault="00000000" w:rsidRPr="00000000" w14:paraId="0000000A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מצלינן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האידנא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אקצירי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ואמריעי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ולרבנן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מצלינן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רפאנו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וברכת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שגזר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דצבור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נקרע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בגמרא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מצלינן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אקצירי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ואמריעי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ביחיד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פרטי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דגזר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נקרע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ובהכי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שפיר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דתניא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מבקר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החולה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ירחם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יהודא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וגזר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חולי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דצבו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דנקרע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לדחוק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ולומר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הכיפורים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עסקינן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אגדות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למהר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</w:p>
    <w:p w:rsidR="00000000" w:rsidDel="00000000" w:rsidP="00000000" w:rsidRDefault="00000000" w:rsidRPr="00000000" w14:paraId="0000000F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*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דתניא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נידונין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מסקנא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מחלוקת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וטעמא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הזמן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הזמן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התחלת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והתחלת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ההוה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והסוף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סבירא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טעמיה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דידיה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דודאי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התחלה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הדינין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ואמנם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הגמר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דמחולקים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הגמר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בזמנו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ותנא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דידן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מחולקים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תבואה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בזמנו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בזמנו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בזמנו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וטעמו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דרבי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שהקב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נוטה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שזולתו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וראוי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לאבוד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פורענות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במדת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מדת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שולטת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המציאות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במדת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ומדת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התיחסות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והתדבקות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הנמצא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כאשר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יתברך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קרוב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מדת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דרשו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בהמצאו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קראהו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בהיותו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קרוב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עשרת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ובין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והקורבה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הזאת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קורבת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קורבה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התיחסות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התיחסות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ובזמן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התיחסות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התיחסות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שולט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התיחסות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מביא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התחייב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שראוי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אמיתת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המשפט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עליו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שהתבאר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וראוי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וראש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שכתבנו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שחל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האמיתת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מלכותו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הנמצאים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ארבעה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הפסח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התבואה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שראוי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במדת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כשנמצא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התיחסות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וסבירא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לרבי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התיחסות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בעבור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שהאדם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ובעבור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קרוב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ולרבי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רגע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והחלוק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דביקות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בבוראו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ידענו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נמשך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ממדת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וכמנין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ממדת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סבירא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דביקות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בבוראו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המציאות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הדביקות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בקרבך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רגע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בקרבך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וכלתיך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דביקות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השכינה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אלקי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סבירא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רגע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ודעתו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ממדות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ומדריגתו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ממדות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ממדת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בחכמה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עיוני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דביקתו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עיוני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עיוני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דביקות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שאמרנו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וידוע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יתקרב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שורף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מתקרב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יוחסו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*</w:t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*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ואתה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תשגיח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הפלסופים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יתכן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מתקרב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בהתיחסות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ופעם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המקבל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המקבל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מחלוקת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התנאים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לתנא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דידן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התיחסות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מדריגת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סבירא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רגע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מדריגת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מדריגה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גבוה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בחכמה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ובינה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רגע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*</w:t>
      </w:r>
    </w:p>
    <w:p w:rsidR="00000000" w:rsidDel="00000000" w:rsidP="00000000" w:rsidRDefault="00000000" w:rsidRPr="00000000" w14:paraId="00000011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*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תאמר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סבירא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לגמרי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דקאמר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מצלינן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האידנא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יתכן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מתפללין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תחלת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מעשיך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סובר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דהקב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כללי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פרטי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שהקב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גוזר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שיגיע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בזו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חתימתו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הכפורים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לחיים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מתפלל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מבטל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הגזירה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שנגזר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ויכול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לבטל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הגזירה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שנגזר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וגזירתו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לגמור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גזירות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נדון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נגמר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שודאי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ימות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נשאר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כמעט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שנוטה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קצת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אגדות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למהר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דודאי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שהרבה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גזירות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שנגזרו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גזר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נתחדשו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בשביל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האדם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גוזר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גזירות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וגזר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אליבא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עבירות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שהאדם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מביא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פורענות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קשיא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התפילות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מתפללים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מצלינן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אקצירי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ואמריעי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דמשמע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קצירי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ומריעי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מתפללין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אקצירי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הוצרך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לתרץ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תדע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מצלינן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האידנא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קיימא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חטא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יסורים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יתפלל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יסורים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ושמא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חולי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עון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ספרים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נפתחים</w:t>
      </w:r>
    </w:p>
    <w:p w:rsidR="00000000" w:rsidDel="00000000" w:rsidP="00000000" w:rsidRDefault="00000000" w:rsidRPr="00000000" w14:paraId="00000018">
      <w:pPr>
        <w:pStyle w:val="Heading5"/>
        <w:bidi w:val="1"/>
        <w:jc w:val="both"/>
        <w:rPr>
          <w:rFonts w:ascii="David Libre" w:cs="David Libre" w:eastAsia="David Libre" w:hAnsi="David Libre"/>
          <w:b w:val="0"/>
          <w:i w:val="1"/>
        </w:rPr>
      </w:pPr>
      <w:bookmarkStart w:colFirst="0" w:colLast="0" w:name="_dby3hzctgb3r" w:id="0"/>
      <w:bookmarkEnd w:id="0"/>
      <w:r w:rsidDel="00000000" w:rsidR="00000000" w:rsidRPr="00000000">
        <w:rPr>
          <w:rFonts w:ascii="David Libre" w:cs="David Libre" w:eastAsia="David Libre" w:hAnsi="David Libre"/>
          <w:b w:val="0"/>
          <w:i w:val="1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b w:val="0"/>
          <w:i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0"/>
          <w:i w:val="1"/>
          <w:rtl w:val="1"/>
        </w:rPr>
        <w:t xml:space="preserve">הזה</w:t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</w:t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שעונותיו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מרובין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זכיותיו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ברשעו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עונך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מדינה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שעונותיה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מרובין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אובדת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זעקת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סדום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ועמורה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עונותיהם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מרובין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מזכיותיהן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נשחתין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...</w:t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David Libre" w:cs="David Libre" w:eastAsia="David Libre" w:hAnsi="David Libre"/>
          <w:sz w:val="22"/>
          <w:szCs w:val="22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השגת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2"/>
          <w:szCs w:val="22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סובר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שכשאמרו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רשעים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נחתמין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שמיד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מתים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רשעים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נחתמין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ימלאו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ימיהם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הדור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שנגזרו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ועיקר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ביבמות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2"/>
          <w:szCs w:val="22"/>
          <w:rtl w:val="1"/>
        </w:rPr>
        <w:t xml:space="preserve">'). 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דרשה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לראש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לרמב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עוברין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לפניו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בעניני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הזה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לתת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ושלום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ונכסים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וכבוד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נתחייב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ליסורין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וצער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ועוני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שבגוף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ושבעולם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חיי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ומזוני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הנפש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תזכה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לגן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עדן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ולחיי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תתחייב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לגיהנם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ואבדון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בגמרא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ספרים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נפתחין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צדיקים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גמורים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נכתבין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ונחתמין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גמורין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נכתבין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ונחתמין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הזכירו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לגיהנם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ולחיי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שהזכירו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בבריתא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הסמוכה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בשלש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שער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הגמול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בצדיקים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גמורים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שנכתבים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ורשעים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שנכתבין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צדיקים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עונות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רשעים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זכיות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שכמה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צדיקים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מתים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רשעים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מאריכין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ימים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בשלוה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והכתוב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צווח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קהלת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צדיקים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שמגיע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הרשעים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שמגיע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הצדיקים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רבותינו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בידינו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הרשעים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יסורי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הצדיקים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עונות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שדינו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הקב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ומשפטיו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הצדיקים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ליפרע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שהדין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ליפרע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בעוה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הזכיות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הגמול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יתברך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שכרן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שמשלם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שכרן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וכשאדם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חוטא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ומתלכלך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בעונות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ומתטנף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בחטאים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ומתגלגל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בפשעים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ועושה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צדקות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ומעשים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טובים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ובאין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מעשיו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אדון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יתברך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שוקל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אותן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מעשים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כנגד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והצדיק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זוכה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לחיים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הרשע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שדינו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נותן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לשלם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שכר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בעוה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הטוב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נכתב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ונחתם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לחיים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שפוסקין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ושלוה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ועושר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ונכסים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וכבוד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למיתה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הטוב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שנכשל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בעבירה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ונענש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ונחתם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שימות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בשנה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הזאת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שיחיה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בתחלואים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רעים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חיי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צער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ויסורין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בדינו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וזוכה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לחיי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והראשון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שזכה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ואובד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שבנביאים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כשנדון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חטא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ונענש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אחאב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הראית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נכנע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אחאב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pStyle w:val="Heading5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220" w:line="240" w:lineRule="auto"/>
        <w:ind w:left="0" w:right="0" w:firstLine="0"/>
        <w:jc w:val="both"/>
        <w:rPr>
          <w:rFonts w:ascii="David Libre" w:cs="David Libre" w:eastAsia="David Libre" w:hAnsi="David Libre"/>
          <w:b w:val="0"/>
          <w:i w:val="1"/>
          <w:color w:val="000000"/>
          <w:sz w:val="22"/>
          <w:szCs w:val="22"/>
        </w:rPr>
      </w:pPr>
      <w:bookmarkStart w:colFirst="0" w:colLast="0" w:name="_aajtn3e69ogm" w:id="1"/>
      <w:bookmarkEnd w:id="1"/>
      <w:r w:rsidDel="00000000" w:rsidR="00000000" w:rsidRPr="00000000">
        <w:rPr>
          <w:rFonts w:ascii="David Libre" w:cs="David Libre" w:eastAsia="David Libre" w:hAnsi="David Libre"/>
          <w:b w:val="0"/>
          <w:i w:val="1"/>
          <w:color w:val="000000"/>
          <w:sz w:val="22"/>
          <w:szCs w:val="22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b w:val="0"/>
          <w:i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0"/>
          <w:i w:val="1"/>
          <w:color w:val="000000"/>
          <w:sz w:val="22"/>
          <w:szCs w:val="22"/>
          <w:rtl w:val="1"/>
        </w:rPr>
        <w:t xml:space="preserve">הבא</w:t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תוספות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ונחתמין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מדקא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חשיב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בינוניים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דצדיקים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שזכיותיו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מרובים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ורשעים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גמורים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שעונותיו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מרובים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ופעמים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הצדיקים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נחתמין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ורשעים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גמורים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דכתיב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ומשלם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לשונאיו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פניו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להאבידו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)...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דקרי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רשעים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וגבי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צדיקים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לחיי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both"/>
        <w:rPr>
          <w:rFonts w:ascii="David Libre" w:cs="David Libre" w:eastAsia="David Libre" w:hAnsi="David Libre"/>
          <w:b w:val="1"/>
        </w:rPr>
      </w:pPr>
      <w:commentRangeStart w:id="0"/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הרשב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דקאמר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בצדקו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ברעתו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ימיו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באחרונה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מזכירין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מרשעתו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נחתמין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ואפי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צדיק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ימיו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ומרד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באחרונה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אבד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הראשונות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בחיי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ימיו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היודע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jc w:val="both"/>
        <w:rPr>
          <w:rFonts w:ascii="David Libre" w:cs="David Libre" w:eastAsia="David Libre" w:hAnsi="David Libre"/>
          <w:b w:val="1"/>
        </w:rPr>
      </w:pPr>
      <w:commentRangeStart w:id="1"/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תוספות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הילכך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דקאמר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ומיתת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דמאורעות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וגזרותיו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תלויין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שגוזרין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הצדיק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גזרות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להפרע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עונותיו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גוזרין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גזרות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טובות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מצותיו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כדכתיב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ומשלם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לשונאיו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פניו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להאבידו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הילכך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להעלותן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מאזנים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כשיחיו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המתים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כדמוכח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נדונו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בגן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בגיהנם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מעשיהן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עומדין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שקבלו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דינם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ויזכו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לחיי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pStyle w:val="Heading5"/>
        <w:bidi w:val="1"/>
        <w:jc w:val="both"/>
        <w:rPr>
          <w:rFonts w:ascii="David Libre" w:cs="David Libre" w:eastAsia="David Libre" w:hAnsi="David Libre"/>
          <w:b w:val="0"/>
          <w:i w:val="1"/>
        </w:rPr>
      </w:pPr>
      <w:bookmarkStart w:colFirst="0" w:colLast="0" w:name="_pz4hre5inz2r" w:id="2"/>
      <w:bookmarkEnd w:id="2"/>
      <w:r w:rsidDel="00000000" w:rsidR="00000000" w:rsidRPr="00000000">
        <w:rPr>
          <w:rFonts w:ascii="David Libre" w:cs="David Libre" w:eastAsia="David Libre" w:hAnsi="David Libre"/>
          <w:b w:val="0"/>
          <w:i w:val="1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b w:val="0"/>
          <w:i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0"/>
          <w:i w:val="1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b w:val="0"/>
          <w:i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0"/>
          <w:i w:val="1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b w:val="0"/>
          <w:i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0"/>
          <w:i w:val="1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b w:val="0"/>
          <w:i w:val="1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b w:val="0"/>
          <w:i w:val="1"/>
          <w:rtl w:val="1"/>
        </w:rPr>
        <w:t xml:space="preserve">רוחניות</w:t>
      </w:r>
    </w:p>
    <w:p w:rsidR="00000000" w:rsidDel="00000000" w:rsidP="00000000" w:rsidRDefault="00000000" w:rsidRPr="00000000" w14:paraId="0000002D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מכתב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מאליהו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סג</w:t>
      </w:r>
    </w:p>
    <w:p w:rsidR="00000000" w:rsidDel="00000000" w:rsidP="00000000" w:rsidRDefault="00000000" w:rsidRPr="00000000" w14:paraId="0000002E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ספרים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נפתחים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הרוחניות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וסייעתא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דשמיא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פירשו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שגדר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דראש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וכוונתם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המדרגה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הרוחנית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שפתי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מועדים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דיני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השנה</w:t>
      </w:r>
    </w:p>
    <w:p w:rsidR="00000000" w:rsidDel="00000000" w:rsidP="00000000" w:rsidRDefault="00000000" w:rsidRPr="00000000" w14:paraId="00000031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קביעת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הרוחנית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המושג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ושייך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לאנשי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איזהו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 –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הכוונה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יזכה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לחיי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שעכשיו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".</w:t>
      </w:r>
    </w:p>
    <w:p w:rsidR="00000000" w:rsidDel="00000000" w:rsidP="00000000" w:rsidRDefault="00000000" w:rsidRPr="00000000" w14:paraId="00000032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chreiber" w:id="0" w:date="2013-08-23T12:47:00Z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Attacking Tosfos</w:t>
      </w:r>
    </w:p>
  </w:comment>
  <w:comment w:author="Schreiber" w:id="1" w:date="2013-08-25T22:36:00Z"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defense of Tosfos – a tzaddik will get punished for his sins in this world and the opposite for a rasha – and this will get repeated every year.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