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bidi w:val="1"/>
        <w:rPr/>
      </w:pPr>
      <w:r w:rsidDel="00000000" w:rsidR="00000000" w:rsidRPr="00000000">
        <w:rPr>
          <w:rtl w:val="1"/>
        </w:rPr>
        <w:t xml:space="preserve">בענין</w:t>
      </w:r>
      <w:r w:rsidDel="00000000" w:rsidR="00000000" w:rsidRPr="00000000">
        <w:rPr>
          <w:rtl w:val="1"/>
        </w:rPr>
        <w:t xml:space="preserve"> </w:t>
      </w:r>
      <w:r w:rsidDel="00000000" w:rsidR="00000000" w:rsidRPr="00000000">
        <w:rPr>
          <w:rtl w:val="1"/>
        </w:rPr>
        <w:t xml:space="preserve">לבישת</w:t>
      </w:r>
      <w:r w:rsidDel="00000000" w:rsidR="00000000" w:rsidRPr="00000000">
        <w:rPr>
          <w:rtl w:val="1"/>
        </w:rPr>
        <w:t xml:space="preserve"> </w:t>
      </w:r>
      <w:r w:rsidDel="00000000" w:rsidR="00000000" w:rsidRPr="00000000">
        <w:rPr>
          <w:rtl w:val="1"/>
        </w:rPr>
        <w:t xml:space="preserve">תחפושות</w:t>
      </w:r>
      <w:r w:rsidDel="00000000" w:rsidR="00000000" w:rsidRPr="00000000">
        <w:rPr>
          <w:rtl w:val="1"/>
        </w:rPr>
        <w:t xml:space="preserve"> </w:t>
      </w:r>
      <w:r w:rsidDel="00000000" w:rsidR="00000000" w:rsidRPr="00000000">
        <w:rPr>
          <w:rtl w:val="1"/>
        </w:rPr>
        <w:t xml:space="preserve">בפורים</w:t>
      </w:r>
    </w:p>
    <w:p w:rsidR="00000000" w:rsidDel="00000000" w:rsidP="00000000" w:rsidRDefault="00000000" w:rsidRPr="00000000" w14:paraId="00000002">
      <w:pPr>
        <w:pStyle w:val="Heading2"/>
        <w:numPr>
          <w:ilvl w:val="0"/>
          <w:numId w:val="1"/>
        </w:numPr>
        <w:spacing w:after="0" w:line="240" w:lineRule="auto"/>
        <w:ind w:left="720" w:hanging="360"/>
        <w:jc w:val="center"/>
        <w:rPr/>
      </w:pPr>
      <w:bookmarkStart w:colFirst="0" w:colLast="0" w:name="_b6jw8ixt7oah" w:id="0"/>
      <w:bookmarkEnd w:id="0"/>
      <w:r w:rsidDel="00000000" w:rsidR="00000000" w:rsidRPr="00000000">
        <w:rPr>
          <w:rtl w:val="0"/>
        </w:rPr>
      </w:r>
    </w:p>
    <w:p w:rsidR="00000000" w:rsidDel="00000000" w:rsidP="00000000" w:rsidRDefault="00000000" w:rsidRPr="00000000" w14:paraId="00000003">
      <w:pPr>
        <w:bidi w:val="1"/>
        <w:spacing w:after="0" w:line="240" w:lineRule="auto"/>
        <w:jc w:val="both"/>
        <w:rPr>
          <w:rFonts w:ascii="David" w:cs="David" w:eastAsia="David" w:hAnsi="David"/>
          <w:b w:val="1"/>
          <w:sz w:val="24"/>
          <w:szCs w:val="24"/>
        </w:rPr>
      </w:pPr>
      <w:commentRangeStart w:id="0"/>
      <w:r w:rsidDel="00000000" w:rsidR="00000000" w:rsidRPr="00000000">
        <w:rPr>
          <w:rFonts w:ascii="David" w:cs="David" w:eastAsia="David" w:hAnsi="David"/>
          <w:b w:val="1"/>
          <w:sz w:val="24"/>
          <w:szCs w:val="24"/>
          <w:rtl w:val="1"/>
        </w:rPr>
        <w:t xml:space="preserve">קצות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השלחן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סוף</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חלק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ג</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4">
      <w:pPr>
        <w:bidi w:val="1"/>
        <w:spacing w:after="0" w:line="240"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שנהגו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ללבוש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פרצופים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רמ</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תרצ</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הטעמים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שנאמרו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עפ</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התוס</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וישמע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הכנעני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ערד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וז</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המדרש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אמרינן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דהיינו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עמלק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שיסד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הפייט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בפזמון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זכור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כסות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ולשון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כמלך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ערד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ולפי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שעמק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הסוה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עצמו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יכירוהו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הועיל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ונחל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מפלה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לזכר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מסוה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הפנים</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05">
      <w:pPr>
        <w:bidi w:val="1"/>
        <w:spacing w:after="0"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06">
      <w:pPr>
        <w:bidi w:val="1"/>
        <w:spacing w:after="0" w:line="240" w:lineRule="auto"/>
        <w:jc w:val="both"/>
        <w:rPr>
          <w:rFonts w:ascii="David" w:cs="David" w:eastAsia="David" w:hAnsi="David"/>
          <w:b w:val="1"/>
          <w:sz w:val="24"/>
          <w:szCs w:val="24"/>
        </w:rPr>
      </w:pPr>
      <w:commentRangeStart w:id="1"/>
      <w:r w:rsidDel="00000000" w:rsidR="00000000" w:rsidRPr="00000000">
        <w:rPr>
          <w:rFonts w:ascii="David" w:cs="David" w:eastAsia="David" w:hAnsi="David"/>
          <w:b w:val="1"/>
          <w:sz w:val="24"/>
          <w:szCs w:val="24"/>
          <w:rtl w:val="1"/>
        </w:rPr>
        <w:t xml:space="preserve">מנהג</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ישראל</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תורה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הלכות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מגילה</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7">
      <w:pPr>
        <w:bidi w:val="1"/>
        <w:spacing w:after="0" w:line="240" w:lineRule="auto"/>
        <w:jc w:val="both"/>
        <w:rPr>
          <w:rFonts w:ascii="David" w:cs="David" w:eastAsia="David" w:hAnsi="David"/>
          <w:sz w:val="24"/>
          <w:szCs w:val="24"/>
        </w:rPr>
      </w:pPr>
      <w:bookmarkStart w:colFirst="0" w:colLast="0" w:name="_gjdgxs" w:id="1"/>
      <w:bookmarkEnd w:id="1"/>
      <w:r w:rsidDel="00000000" w:rsidR="00000000" w:rsidRPr="00000000">
        <w:rPr>
          <w:rFonts w:ascii="David" w:cs="David" w:eastAsia="David" w:hAnsi="David"/>
          <w:sz w:val="24"/>
          <w:szCs w:val="24"/>
          <w:rtl w:val="1"/>
        </w:rPr>
        <w:t xml:space="preserve">הנה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בעצם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המנהג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שנהגו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לשנות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הבגדים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בפורים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איתא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בספרים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טעמים</w:t>
      </w:r>
      <w:r w:rsidDel="00000000" w:rsidR="00000000" w:rsidRPr="00000000">
        <w:rPr>
          <w:rFonts w:ascii="David" w:cs="David" w:eastAsia="David" w:hAnsi="David"/>
          <w:sz w:val="24"/>
          <w:szCs w:val="24"/>
          <w:rtl w:val="1"/>
        </w:rPr>
        <w:t xml:space="preserve">, (1) </w:t>
      </w:r>
      <w:r w:rsidDel="00000000" w:rsidR="00000000" w:rsidRPr="00000000">
        <w:rPr>
          <w:rFonts w:ascii="David" w:cs="David" w:eastAsia="David" w:hAnsi="David"/>
          <w:b w:val="1"/>
          <w:sz w:val="24"/>
          <w:szCs w:val="24"/>
          <w:rtl w:val="1"/>
        </w:rPr>
        <w:t xml:space="preserve">בא</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ר</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כתב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זכר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למרדכי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שיצא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בלבוש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מלכות</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ובבני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יששכר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כתב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בשם</w:t>
      </w:r>
      <w:r w:rsidDel="00000000" w:rsidR="00000000" w:rsidRPr="00000000">
        <w:rPr>
          <w:rFonts w:ascii="David" w:cs="David" w:eastAsia="David" w:hAnsi="David"/>
          <w:sz w:val="24"/>
          <w:szCs w:val="24"/>
          <w:rtl w:val="1"/>
        </w:rPr>
        <w:t xml:space="preserve"> (2) </w:t>
      </w:r>
      <w:r w:rsidDel="00000000" w:rsidR="00000000" w:rsidRPr="00000000">
        <w:rPr>
          <w:rFonts w:ascii="David" w:cs="David" w:eastAsia="David" w:hAnsi="David"/>
          <w:b w:val="1"/>
          <w:sz w:val="24"/>
          <w:szCs w:val="24"/>
          <w:u w:val="single"/>
          <w:rtl w:val="1"/>
        </w:rPr>
        <w:t xml:space="preserve">המהר</w:t>
      </w:r>
      <w:r w:rsidDel="00000000" w:rsidR="00000000" w:rsidRPr="00000000">
        <w:rPr>
          <w:rFonts w:ascii="David" w:cs="David" w:eastAsia="David" w:hAnsi="David"/>
          <w:b w:val="1"/>
          <w:sz w:val="24"/>
          <w:szCs w:val="24"/>
          <w:u w:val="single"/>
          <w:rtl w:val="1"/>
        </w:rPr>
        <w:t xml:space="preserve">"</w:t>
      </w:r>
      <w:r w:rsidDel="00000000" w:rsidR="00000000" w:rsidRPr="00000000">
        <w:rPr>
          <w:rFonts w:ascii="David" w:cs="David" w:eastAsia="David" w:hAnsi="David"/>
          <w:b w:val="1"/>
          <w:sz w:val="24"/>
          <w:szCs w:val="24"/>
          <w:u w:val="single"/>
          <w:rtl w:val="1"/>
        </w:rPr>
        <w:t xml:space="preserve">ם</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חאגיז</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sz w:val="24"/>
          <w:szCs w:val="24"/>
          <w:u w:val="single"/>
          <w:rtl w:val="1"/>
        </w:rPr>
        <w:t xml:space="preserve">שהוא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לזכר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שאמרו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עשו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לפנים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אף</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עשה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עמם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לפנים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משתנים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בזמן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השמחה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במלבושים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שונים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ניכר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הפנים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הוא</w:t>
      </w:r>
      <w:r w:rsidDel="00000000" w:rsidR="00000000" w:rsidRPr="00000000">
        <w:rPr>
          <w:rFonts w:ascii="David" w:cs="David" w:eastAsia="David" w:hAnsi="David"/>
          <w:sz w:val="24"/>
          <w:szCs w:val="24"/>
          <w:rtl w:val="0"/>
        </w:rPr>
        <w:t xml:space="preserve">. (3) </w:t>
      </w:r>
      <w:r w:rsidDel="00000000" w:rsidR="00000000" w:rsidRPr="00000000">
        <w:rPr>
          <w:rFonts w:ascii="David" w:cs="David" w:eastAsia="David" w:hAnsi="David"/>
          <w:b w:val="1"/>
          <w:sz w:val="24"/>
          <w:szCs w:val="24"/>
          <w:rtl w:val="1"/>
        </w:rPr>
        <w:t xml:space="preserve">ובקול</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אריה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sz w:val="24"/>
          <w:szCs w:val="24"/>
          <w:rtl w:val="1"/>
        </w:rPr>
        <w:t xml:space="preserve">כתב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בכדי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יתבייש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צריך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לפשוט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יד</w:t>
      </w:r>
      <w:r w:rsidDel="00000000" w:rsidR="00000000" w:rsidRPr="00000000">
        <w:rPr>
          <w:rFonts w:ascii="David" w:cs="David" w:eastAsia="David" w:hAnsi="David"/>
          <w:sz w:val="24"/>
          <w:szCs w:val="24"/>
          <w:rtl w:val="1"/>
        </w:rPr>
        <w:t xml:space="preserve">. (4) </w:t>
      </w:r>
      <w:r w:rsidDel="00000000" w:rsidR="00000000" w:rsidRPr="00000000">
        <w:rPr>
          <w:rFonts w:ascii="David" w:cs="David" w:eastAsia="David" w:hAnsi="David"/>
          <w:sz w:val="24"/>
          <w:szCs w:val="24"/>
          <w:u w:val="single"/>
          <w:rtl w:val="1"/>
        </w:rPr>
        <w:t xml:space="preserve">ועוד</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לפי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שהנס</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היה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מלובש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בדרך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הטבע</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מכסים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הפנים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יהיה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נראה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בגלוי</w:t>
      </w:r>
      <w:r w:rsidDel="00000000" w:rsidR="00000000" w:rsidRPr="00000000">
        <w:rPr>
          <w:rFonts w:ascii="David" w:cs="David" w:eastAsia="David" w:hAnsi="David"/>
          <w:sz w:val="24"/>
          <w:szCs w:val="24"/>
          <w:rtl w:val="0"/>
        </w:rPr>
        <w:t xml:space="preserve">.</w:t>
      </w:r>
    </w:p>
    <w:p w:rsidR="00000000" w:rsidDel="00000000" w:rsidP="00000000" w:rsidRDefault="00000000" w:rsidRPr="00000000" w14:paraId="00000008">
      <w:pPr>
        <w:bidi w:val="1"/>
        <w:spacing w:after="0"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0"/>
        </w:rPr>
        <w:t xml:space="preserve">Otzar Kol Minhagei Yeshurin 50:3:pages 123-124.</w:t>
      </w:r>
    </w:p>
    <w:p w:rsidR="00000000" w:rsidDel="00000000" w:rsidP="00000000" w:rsidRDefault="00000000" w:rsidRPr="00000000" w14:paraId="0000000A">
      <w:pPr>
        <w:spacing w:after="0" w:line="240" w:lineRule="auto"/>
        <w:jc w:val="both"/>
        <w:rPr>
          <w:rFonts w:ascii="David" w:cs="David" w:eastAsia="David" w:hAnsi="David"/>
          <w:sz w:val="24"/>
          <w:szCs w:val="24"/>
        </w:rPr>
      </w:pPr>
      <w:r w:rsidDel="00000000" w:rsidR="00000000" w:rsidRPr="00000000">
        <w:rPr>
          <w:rFonts w:ascii="David" w:cs="David" w:eastAsia="David" w:hAnsi="David"/>
          <w:sz w:val="24"/>
          <w:szCs w:val="24"/>
          <w:rtl w:val="0"/>
        </w:rPr>
        <w:t xml:space="preserve">The miracle of Purim was a series of hidden miracles and hidden identities. Esther concealed her Jewish identity. Mordechai’s identity as the one who saved the king’s life remained hidden from the king until the right time. Hashem, too, is hidden, as His name is not mentioned in the megillah. Therefore, we hide our identity by getting dressed up on Purim. </w:t>
      </w:r>
    </w:p>
    <w:p w:rsidR="00000000" w:rsidDel="00000000" w:rsidP="00000000" w:rsidRDefault="00000000" w:rsidRPr="00000000" w14:paraId="0000000B">
      <w:pPr>
        <w:spacing w:after="0" w:line="240" w:lineRule="auto"/>
        <w:jc w:val="both"/>
        <w:rPr>
          <w:rFonts w:ascii="David" w:cs="David" w:eastAsia="David" w:hAnsi="David"/>
          <w:sz w:val="24"/>
          <w:szCs w:val="24"/>
        </w:rPr>
      </w:pPr>
      <w:r w:rsidDel="00000000" w:rsidR="00000000" w:rsidRPr="00000000">
        <w:rPr>
          <w:rFonts w:ascii="David" w:cs="David" w:eastAsia="David" w:hAnsi="David"/>
          <w:sz w:val="24"/>
          <w:szCs w:val="24"/>
          <w:rtl w:val="0"/>
        </w:rPr>
        <w:t xml:space="preserve">When Haman’s decree of genocide was issued, many Jews dressed up as gentiles to conceal their identity. When the decree was reversed and the Jews were permitted to attack their enemies, the non-Jews dressed as Jews to save themselves. In remembrance of this miracle we change our clothes on Purim.</w:t>
      </w:r>
    </w:p>
    <w:p w:rsidR="00000000" w:rsidDel="00000000" w:rsidP="00000000" w:rsidRDefault="00000000" w:rsidRPr="00000000" w14:paraId="0000000C">
      <w:pPr>
        <w:spacing w:after="0"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0"/>
        </w:rPr>
        <w:t xml:space="preserve">Rabbi Yitzchak Weiss (19th-20th century Pressburg), Siach Yitzchak 380</w:t>
      </w:r>
    </w:p>
    <w:p w:rsidR="00000000" w:rsidDel="00000000" w:rsidP="00000000" w:rsidRDefault="00000000" w:rsidRPr="00000000" w14:paraId="0000000E">
      <w:pPr>
        <w:spacing w:after="0" w:line="240" w:lineRule="auto"/>
        <w:jc w:val="both"/>
        <w:rPr>
          <w:rFonts w:ascii="David" w:cs="David" w:eastAsia="David" w:hAnsi="David"/>
          <w:sz w:val="24"/>
          <w:szCs w:val="24"/>
        </w:rPr>
      </w:pPr>
      <w:r w:rsidDel="00000000" w:rsidR="00000000" w:rsidRPr="00000000">
        <w:rPr>
          <w:rFonts w:ascii="David" w:cs="David" w:eastAsia="David" w:hAnsi="David"/>
          <w:sz w:val="24"/>
          <w:szCs w:val="24"/>
          <w:rtl w:val="0"/>
        </w:rPr>
        <w:t xml:space="preserve">Regarding why people wear costumes on Purim… Esav hid his enmity for Yaakov… And therefore, too, Eliyahu z”l came to the king disguised as Charvona, and caused Haman to be hanged… </w:t>
      </w:r>
    </w:p>
    <w:p w:rsidR="00000000" w:rsidDel="00000000" w:rsidP="00000000" w:rsidRDefault="00000000" w:rsidRPr="00000000" w14:paraId="0000000F">
      <w:pPr>
        <w:pStyle w:val="Heading2"/>
        <w:spacing w:after="0" w:line="240" w:lineRule="auto"/>
        <w:jc w:val="center"/>
        <w:rPr/>
      </w:pPr>
      <w:bookmarkStart w:colFirst="0" w:colLast="0" w:name="_3l9b5zuhd9yz" w:id="2"/>
      <w:bookmarkEnd w:id="2"/>
      <w:r w:rsidDel="00000000" w:rsidR="00000000" w:rsidRPr="00000000">
        <w:rPr>
          <w:rtl w:val="0"/>
        </w:rPr>
        <w:t xml:space="preserve">II.</w:t>
      </w:r>
    </w:p>
    <w:p w:rsidR="00000000" w:rsidDel="00000000" w:rsidP="00000000" w:rsidRDefault="00000000" w:rsidRPr="00000000" w14:paraId="00000010">
      <w:pPr>
        <w:spacing w:after="0" w:line="240" w:lineRule="auto"/>
        <w:jc w:val="both"/>
        <w:rPr>
          <w:rFonts w:ascii="David" w:cs="David" w:eastAsia="David" w:hAnsi="David"/>
          <w:b w:val="1"/>
        </w:rPr>
      </w:pPr>
      <w:r w:rsidDel="00000000" w:rsidR="00000000" w:rsidRPr="00000000">
        <w:rPr>
          <w:rFonts w:ascii="David" w:cs="David" w:eastAsia="David" w:hAnsi="David"/>
          <w:b w:val="1"/>
          <w:rtl w:val="0"/>
        </w:rPr>
        <w:t xml:space="preserve">Rabbi Eliezer ben Shmuel of Metz (d.1175), </w:t>
      </w:r>
      <w:r w:rsidDel="00000000" w:rsidR="00000000" w:rsidRPr="00000000">
        <w:rPr>
          <w:rFonts w:ascii="Arial" w:cs="Arial" w:eastAsia="Arial" w:hAnsi="Arial"/>
          <w:b w:val="1"/>
          <w:rtl w:val="0"/>
        </w:rPr>
        <w:t xml:space="preserve">​</w:t>
      </w:r>
      <w:r w:rsidDel="00000000" w:rsidR="00000000" w:rsidRPr="00000000">
        <w:rPr>
          <w:rFonts w:ascii="David" w:cs="David" w:eastAsia="David" w:hAnsi="David"/>
          <w:b w:val="1"/>
          <w:rtl w:val="0"/>
        </w:rPr>
        <w:t xml:space="preserve">Sefer Yereim </w:t>
      </w:r>
    </w:p>
    <w:p w:rsidR="00000000" w:rsidDel="00000000" w:rsidP="00000000" w:rsidRDefault="00000000" w:rsidRPr="00000000" w14:paraId="00000011">
      <w:pPr>
        <w:spacing w:after="0" w:line="240" w:lineRule="auto"/>
        <w:jc w:val="both"/>
        <w:rPr>
          <w:rFonts w:ascii="David" w:cs="David" w:eastAsia="David" w:hAnsi="David"/>
        </w:rPr>
      </w:pPr>
      <w:r w:rsidDel="00000000" w:rsidR="00000000" w:rsidRPr="00000000">
        <w:rPr>
          <w:rFonts w:ascii="David" w:cs="David" w:eastAsia="David" w:hAnsi="David"/>
          <w:rtl w:val="0"/>
        </w:rPr>
        <w:t xml:space="preserve">Wearing such clothes even temporarily and in a joking manner is prohibited, for the Torah made no distinction between permanent and temporary wearing. I am writing this for I have seen people wearing women’s clothes in a temporary way as a joke, and this was difficult in my eyes.</w:t>
      </w:r>
    </w:p>
    <w:p w:rsidR="00000000" w:rsidDel="00000000" w:rsidP="00000000" w:rsidRDefault="00000000" w:rsidRPr="00000000" w14:paraId="00000012">
      <w:pPr>
        <w:bidi w:val="1"/>
        <w:spacing w:after="0"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13">
      <w:pPr>
        <w:bidi w:val="1"/>
        <w:spacing w:after="0" w:line="240" w:lineRule="auto"/>
        <w:jc w:val="both"/>
        <w:rPr>
          <w:rFonts w:ascii="David" w:cs="David" w:eastAsia="David" w:hAnsi="David"/>
          <w:b w:val="1"/>
          <w:sz w:val="24"/>
          <w:szCs w:val="24"/>
        </w:rPr>
      </w:pPr>
      <w:commentRangeStart w:id="2"/>
      <w:r w:rsidDel="00000000" w:rsidR="00000000" w:rsidRPr="00000000">
        <w:rPr>
          <w:rFonts w:ascii="David" w:cs="David" w:eastAsia="David" w:hAnsi="David"/>
          <w:b w:val="1"/>
          <w:sz w:val="24"/>
          <w:szCs w:val="24"/>
          <w:rtl w:val="1"/>
        </w:rPr>
        <w:t xml:space="preserve">שו</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מהר</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מינץ</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סימן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טו</w:t>
      </w:r>
      <w:r w:rsidDel="00000000" w:rsidR="00000000" w:rsidRPr="00000000">
        <w:rPr>
          <w:rFonts w:ascii="David" w:cs="David" w:eastAsia="David" w:hAnsi="David"/>
          <w:b w:val="1"/>
          <w:sz w:val="24"/>
          <w:szCs w:val="24"/>
          <w:rtl w:val="1"/>
        </w:rPr>
        <w:t xml:space="preserve">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4">
      <w:pPr>
        <w:bidi w:val="1"/>
        <w:spacing w:after="0" w:line="240"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לבישת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הפרצופים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שנוהגין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ללבוש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בחורים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וגם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בתולות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זקנים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נערים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בפורים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לטול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שכר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שיבא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מכשורא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דמצוה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ליתן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טעם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ולהביא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ראיה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גדולי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וחסידי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עולם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שנתגדלתי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אצלם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אשר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בניהם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ובנותיהם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חתניהם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וכלותיהם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לובשין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אותן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פרצופים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ושינוי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בגדיהם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מבגדי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לבגדי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להיפך</w:t>
      </w:r>
      <w:r w:rsidDel="00000000" w:rsidR="00000000" w:rsidRPr="00000000">
        <w:rPr>
          <w:rFonts w:ascii="David" w:cs="David" w:eastAsia="David" w:hAnsi="David"/>
          <w:sz w:val="24"/>
          <w:szCs w:val="24"/>
          <w:rtl w:val="1"/>
        </w:rPr>
        <w:t xml:space="preserve">. </w:t>
      </w:r>
      <w:r w:rsidDel="00000000" w:rsidR="00000000" w:rsidRPr="00000000">
        <w:rPr>
          <w:rtl w:val="0"/>
        </w:rPr>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sz w:val="24"/>
          <w:szCs w:val="24"/>
          <w:u w:val="single"/>
          <w:rtl w:val="1"/>
        </w:rPr>
        <w:t xml:space="preserve">ואם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היה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ח</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נדנוד</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עבירה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חלילה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וחס</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להם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לשתוק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ימחו</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וק</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באיסור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ודאי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ראיה</w:t>
      </w:r>
      <w:r w:rsidDel="00000000" w:rsidR="00000000" w:rsidRPr="00000000">
        <w:rPr>
          <w:rtl w:val="0"/>
        </w:rPr>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ב</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sz w:val="24"/>
          <w:szCs w:val="24"/>
          <w:rtl w:val="1"/>
        </w:rPr>
        <w:t xml:space="preserve">ונ</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ראיה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לדבריהם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מההיא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ברייתא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דמייתי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במסכת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ז</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בפרק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מעמידי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אמתני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מסתפרים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רבנן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ישראל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המסתפר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הגוי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רואה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במראה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חושש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ומפרשי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התוספות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וז</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המסתפר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הגוי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רואה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במראה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דאיש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ענין</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ו</w:t>
      </w:r>
      <w:r w:rsidDel="00000000" w:rsidR="00000000" w:rsidRPr="00000000">
        <w:rPr>
          <w:rFonts w:ascii="David" w:cs="David" w:eastAsia="David" w:hAnsi="David"/>
          <w:sz w:val="24"/>
          <w:szCs w:val="24"/>
          <w:u w:val="single"/>
          <w:rtl w:val="1"/>
        </w:rPr>
        <w:t xml:space="preserve">מיהו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אינו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אסור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להתנאות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דעבר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משום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ילבש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גבר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אבל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להסתפר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ולגלח</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משום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מיחוש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עינים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ודאי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מותר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ובוחן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לבות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יודע</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u w:val="single"/>
          <w:rtl w:val="1"/>
        </w:rPr>
        <w:t xml:space="preserve">שאינו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אסור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רק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לשם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נוי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ולקשוט</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דומיא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דאשה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אז</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משום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ילבש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גבר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וגו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אלמא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באופן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אחר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מותר</w:t>
      </w:r>
      <w:r w:rsidDel="00000000" w:rsidR="00000000" w:rsidRPr="00000000">
        <w:rPr>
          <w:rFonts w:ascii="David" w:cs="David" w:eastAsia="David" w:hAnsi="David"/>
          <w:sz w:val="24"/>
          <w:szCs w:val="24"/>
          <w:rtl w:val="0"/>
        </w:rPr>
        <w:t xml:space="preserve">... </w:t>
      </w:r>
      <w:r w:rsidDel="00000000" w:rsidR="00000000" w:rsidRPr="00000000">
        <w:rPr>
          <w:rtl w:val="0"/>
        </w:rPr>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ג</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sz w:val="24"/>
          <w:szCs w:val="24"/>
          <w:rtl w:val="1"/>
        </w:rPr>
        <w:t xml:space="preserve">עוד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נמצא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בתשוב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שכתב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רבינו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טוביה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ריב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מאכל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שחוטפין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הבחורים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משום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שמחת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פורים</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אפילו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ברשות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משעת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מקרא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מגילה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סוף</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סעודת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פורים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לילות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ויום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גזל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להזמינ</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ובלבד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יעשו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כהוגן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פ</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טובי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העיר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משום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שמחת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פורים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אקרי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גזל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שאינו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עושה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מנת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לגזול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ולהרויח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שמחת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פורים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הכי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נמי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נדון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דידן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שנא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כיון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שאינו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מכוון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לניאוף</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לשמחת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פורים</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u w:val="single"/>
          <w:rtl w:val="1"/>
        </w:rPr>
        <w:t xml:space="preserve">וכמו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עשו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גדר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התם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לענין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גזילה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כיון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שאינו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נוהג</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לילות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ויום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אחד</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הוא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הדין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נמי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הכא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דגזל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ועריות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יצר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אחד</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להן</w:t>
      </w:r>
      <w:r w:rsidDel="00000000" w:rsidR="00000000" w:rsidRPr="00000000">
        <w:rPr>
          <w:rFonts w:ascii="David" w:cs="David" w:eastAsia="David" w:hAnsi="David"/>
          <w:sz w:val="24"/>
          <w:szCs w:val="24"/>
          <w:rtl w:val="0"/>
        </w:rPr>
        <w:t xml:space="preserve"> </w:t>
      </w:r>
    </w:p>
    <w:p w:rsidR="00000000" w:rsidDel="00000000" w:rsidP="00000000" w:rsidRDefault="00000000" w:rsidRPr="00000000" w14:paraId="00000015">
      <w:pPr>
        <w:bidi w:val="1"/>
        <w:spacing w:after="0"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David" w:cs="David" w:eastAsia="David" w:hAnsi="David"/>
          <w:sz w:val="24"/>
          <w:szCs w:val="24"/>
        </w:rPr>
      </w:pPr>
      <w:r w:rsidDel="00000000" w:rsidR="00000000" w:rsidRPr="00000000">
        <w:rPr>
          <w:rFonts w:ascii="David" w:cs="David" w:eastAsia="David" w:hAnsi="David"/>
          <w:sz w:val="24"/>
          <w:szCs w:val="24"/>
          <w:rtl w:val="0"/>
        </w:rPr>
        <w:t xml:space="preserve"> </w:t>
      </w:r>
    </w:p>
    <w:tbl>
      <w:tblPr>
        <w:tblStyle w:val="Table1"/>
        <w:bidiVisual w:val="1"/>
        <w:tblW w:w="104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400"/>
      </w:tblPr>
      <w:tblGrid>
        <w:gridCol w:w="5225"/>
        <w:gridCol w:w="5215"/>
        <w:tblGridChange w:id="0">
          <w:tblGrid>
            <w:gridCol w:w="5225"/>
            <w:gridCol w:w="5215"/>
          </w:tblGrid>
        </w:tblGridChange>
      </w:tblGrid>
      <w:tr>
        <w:tc>
          <w:tcPr>
            <w:tcBorders>
              <w:left w:color="000000" w:space="0" w:sz="8" w:val="single"/>
              <w:right w:color="000000" w:space="0" w:sz="0" w:val="nil"/>
            </w:tcBorders>
          </w:tcPr>
          <w:p w:rsidR="00000000" w:rsidDel="00000000" w:rsidP="00000000" w:rsidRDefault="00000000" w:rsidRPr="00000000" w14:paraId="00000017">
            <w:pPr>
              <w:bidi w:val="1"/>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שולחן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ערוך</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יורה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דעה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סימן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קפב</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סעיף</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w:t>
            </w:r>
          </w:p>
          <w:p w:rsidR="00000000" w:rsidDel="00000000" w:rsidP="00000000" w:rsidRDefault="00000000" w:rsidRPr="00000000" w14:paraId="00000018">
            <w:pPr>
              <w:bidi w:val="1"/>
              <w:jc w:val="both"/>
              <w:rPr>
                <w:rFonts w:ascii="David" w:cs="David" w:eastAsia="David" w:hAnsi="David"/>
                <w:b w:val="1"/>
                <w:sz w:val="24"/>
                <w:szCs w:val="24"/>
              </w:rPr>
            </w:pP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תעדה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עדי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האיש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כגון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שתשים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בראשה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מצנפת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כובע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תלבש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שריון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וכיוצא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ממלבושי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האיש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מנהג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המקום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שתגלח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ראשה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כאיש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יעדה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עדי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כגון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שילבש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בגדי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צבעונים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וחלי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במקום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לובשין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אותם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הכלים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משימין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החלי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נשים</w:t>
            </w:r>
            <w:r w:rsidDel="00000000" w:rsidR="00000000" w:rsidRPr="00000000">
              <w:rPr>
                <w:rFonts w:ascii="David" w:cs="David" w:eastAsia="David" w:hAnsi="David"/>
                <w:sz w:val="24"/>
                <w:szCs w:val="24"/>
                <w:rtl w:val="1"/>
              </w:rPr>
              <w:t xml:space="preserve">.</w:t>
            </w:r>
            <w:r w:rsidDel="00000000" w:rsidR="00000000" w:rsidRPr="00000000">
              <w:rPr>
                <w:rtl w:val="0"/>
              </w:rPr>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הגה</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u w:val="single"/>
                <w:rtl w:val="1"/>
              </w:rPr>
              <w:t xml:space="preserve">ואפילו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באחד</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הבגדים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אסור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אף</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פי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שניכרים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בשאר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בגדיהם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שהוא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איש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אשה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י</w:t>
            </w:r>
            <w:r w:rsidDel="00000000" w:rsidR="00000000" w:rsidRPr="00000000">
              <w:rPr>
                <w:rFonts w:ascii="David" w:cs="David" w:eastAsia="David" w:hAnsi="David"/>
                <w:sz w:val="24"/>
                <w:szCs w:val="24"/>
                <w:u w:val="single"/>
                <w:rtl w:val="1"/>
              </w:rPr>
              <w:t xml:space="preserve">).</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טומטום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ואנדרוגינוס</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אסורים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להתעטף</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כאשה</w:t>
            </w:r>
            <w:r w:rsidDel="00000000" w:rsidR="00000000" w:rsidRPr="00000000">
              <w:rPr>
                <w:rFonts w:ascii="David" w:cs="David" w:eastAsia="David" w:hAnsi="David"/>
                <w:sz w:val="24"/>
                <w:szCs w:val="24"/>
                <w:rtl w:val="1"/>
              </w:rPr>
              <w:t xml:space="preserve">. </w:t>
            </w:r>
            <w:r w:rsidDel="00000000" w:rsidR="00000000" w:rsidRPr="00000000">
              <w:rPr>
                <w:rtl w:val="0"/>
              </w:rPr>
            </w:r>
          </w:p>
        </w:tc>
        <w:tc>
          <w:tcPr>
            <w:tcBorders>
              <w:left w:color="000000" w:space="0" w:sz="0" w:val="nil"/>
              <w:right w:color="000000" w:space="0" w:sz="8" w:val="single"/>
            </w:tcBorders>
          </w:tcPr>
          <w:p w:rsidR="00000000" w:rsidDel="00000000" w:rsidP="00000000" w:rsidRDefault="00000000" w:rsidRPr="00000000" w14:paraId="00000019">
            <w:pPr>
              <w:bidi w:val="1"/>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שולחן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ערוך</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אורח</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חיים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הלכות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מגילה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ופורים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סימן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תרצו</w:t>
            </w:r>
            <w:r w:rsidDel="00000000" w:rsidR="00000000" w:rsidRPr="00000000">
              <w:rPr>
                <w:rFonts w:ascii="David" w:cs="David" w:eastAsia="David" w:hAnsi="David"/>
                <w:b w:val="1"/>
                <w:sz w:val="24"/>
                <w:szCs w:val="24"/>
                <w:rtl w:val="1"/>
              </w:rPr>
              <w:t xml:space="preserve"> </w:t>
            </w:r>
          </w:p>
          <w:p w:rsidR="00000000" w:rsidDel="00000000" w:rsidP="00000000" w:rsidRDefault="00000000" w:rsidRPr="00000000" w14:paraId="0000001A">
            <w:pPr>
              <w:bidi w:val="1"/>
              <w:jc w:val="both"/>
              <w:rPr>
                <w:rFonts w:ascii="David" w:cs="David" w:eastAsia="David" w:hAnsi="David"/>
                <w:sz w:val="24"/>
                <w:szCs w:val="24"/>
              </w:rPr>
            </w:pPr>
            <w:r w:rsidDel="00000000" w:rsidR="00000000" w:rsidRPr="00000000">
              <w:rPr>
                <w:rFonts w:ascii="David" w:cs="David" w:eastAsia="David" w:hAnsi="David"/>
                <w:b w:val="1"/>
                <w:sz w:val="24"/>
                <w:szCs w:val="24"/>
                <w:rtl w:val="1"/>
              </w:rPr>
              <w:t xml:space="preserve">הגה</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שנהגו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ללבוש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פרצופים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בפורים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וגבר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לובש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שמלת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אין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איסור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בדבר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מאחר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שאין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מכוונין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לשמחה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בעלמא</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בלבישת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כלאים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דרבנן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דאסור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אבל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המנהג</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כסברא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הראשונה</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אדם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החוטפים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דרך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שמחה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תגזול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ויקרא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ונהגו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ובלבד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יעשו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כהוגן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טובי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העיר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תשובת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מהר</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מינץ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סימן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ז</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ו</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1B">
            <w:pPr>
              <w:bidi w:val="1"/>
              <w:jc w:val="both"/>
              <w:rPr>
                <w:rFonts w:ascii="David" w:cs="David" w:eastAsia="David" w:hAnsi="David"/>
                <w:b w:val="1"/>
                <w:sz w:val="24"/>
                <w:szCs w:val="24"/>
              </w:rPr>
            </w:pPr>
            <w:r w:rsidDel="00000000" w:rsidR="00000000" w:rsidRPr="00000000">
              <w:rPr>
                <w:rtl w:val="0"/>
              </w:rPr>
            </w:r>
          </w:p>
        </w:tc>
      </w:tr>
    </w:tbl>
    <w:p w:rsidR="00000000" w:rsidDel="00000000" w:rsidP="00000000" w:rsidRDefault="00000000" w:rsidRPr="00000000" w14:paraId="0000001C">
      <w:pPr>
        <w:bidi w:val="1"/>
        <w:spacing w:after="0"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1D">
      <w:pPr>
        <w:bidi w:val="1"/>
        <w:spacing w:after="0" w:line="240" w:lineRule="auto"/>
        <w:jc w:val="both"/>
        <w:rPr>
          <w:rFonts w:ascii="David" w:cs="David" w:eastAsia="David" w:hAnsi="David"/>
          <w:sz w:val="24"/>
          <w:szCs w:val="24"/>
        </w:rPr>
      </w:pPr>
      <w:r w:rsidDel="00000000" w:rsidR="00000000" w:rsidRPr="00000000">
        <w:rPr>
          <w:rFonts w:ascii="David" w:cs="David" w:eastAsia="David" w:hAnsi="David"/>
        </w:rPr>
        <w:drawing>
          <wp:inline distB="0" distT="0" distL="0" distR="0">
            <wp:extent cx="5621087" cy="187970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21087" cy="1879701"/>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bidi w:val="1"/>
        <w:spacing w:after="0"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David" w:cs="David" w:eastAsia="David" w:hAnsi="David"/>
        </w:rPr>
      </w:pPr>
      <w:r w:rsidDel="00000000" w:rsidR="00000000" w:rsidRPr="00000000">
        <w:rPr>
          <w:rFonts w:ascii="David" w:cs="David" w:eastAsia="David" w:hAnsi="David"/>
          <w:b w:val="1"/>
          <w:rtl w:val="0"/>
        </w:rPr>
        <w:t xml:space="preserve">Bach, 192: </w:t>
      </w:r>
      <w:r w:rsidDel="00000000" w:rsidR="00000000" w:rsidRPr="00000000">
        <w:rPr>
          <w:rFonts w:ascii="David" w:cs="David" w:eastAsia="David" w:hAnsi="David"/>
          <w:rtl w:val="0"/>
        </w:rPr>
        <w:t xml:space="preserve">It appears to me that [the words of Rabbi Yehuda Mintz] are far-fetched, in light of what Rabbi Eliezer of Metz wrote explicitly, that such behavior is prohibited even in the feast of rejoicing of a bride and groom! We see that doing something for the purpose of a mitzvah is different from doing something to avoid physical pain, where there is no other way to conduct oneself. </w:t>
      </w:r>
      <w:r w:rsidDel="00000000" w:rsidR="00000000" w:rsidRPr="00000000">
        <w:rPr>
          <w:rFonts w:ascii="David" w:cs="David" w:eastAsia="David" w:hAnsi="David"/>
          <w:u w:val="single"/>
          <w:rtl w:val="0"/>
        </w:rPr>
        <w:t xml:space="preserve">However, there are plenty of other ways to rejoice with a bride and groom and on Purim without transgressing the prohibition of cross-dressing, and there is no doubt in my mind that if the words of Rabbi Eliezer of Metz were not concealed from Rabbi Yehuda Mintz, he would not write in this way</w:t>
      </w:r>
      <w:r w:rsidDel="00000000" w:rsidR="00000000" w:rsidRPr="00000000">
        <w:rPr>
          <w:rFonts w:ascii="David" w:cs="David" w:eastAsia="David" w:hAnsi="David"/>
          <w:rtl w:val="0"/>
        </w:rPr>
        <w:t xml:space="preserve">…</w:t>
      </w:r>
    </w:p>
    <w:p w:rsidR="00000000" w:rsidDel="00000000" w:rsidP="00000000" w:rsidRDefault="00000000" w:rsidRPr="00000000" w14:paraId="00000020">
      <w:pPr>
        <w:spacing w:after="0" w:line="240" w:lineRule="auto"/>
        <w:jc w:val="both"/>
        <w:rPr>
          <w:rFonts w:ascii="David" w:cs="David" w:eastAsia="David" w:hAnsi="David"/>
        </w:rPr>
      </w:pPr>
      <w:r w:rsidDel="00000000" w:rsidR="00000000" w:rsidRPr="00000000">
        <w:rPr>
          <w:rFonts w:ascii="David" w:cs="David" w:eastAsia="David" w:hAnsi="David"/>
          <w:rtl w:val="0"/>
        </w:rPr>
        <w:t xml:space="preserve">And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comparison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to</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stealing</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is</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wonder</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because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that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has</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to</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do</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with</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principle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of</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1"/>
        </w:rPr>
        <w:t xml:space="preserve">הפקר</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בית</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דין</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הפקר</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but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rabbis</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have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no</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power</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to</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override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direct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prohibition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for</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sake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of</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enjoyment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of</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Purim</w:t>
      </w:r>
      <w:r w:rsidDel="00000000" w:rsidR="00000000" w:rsidRPr="00000000">
        <w:rPr>
          <w:rFonts w:ascii="David" w:cs="David" w:eastAsia="David" w:hAnsi="David"/>
          <w:rtl w:val="0"/>
        </w:rPr>
        <w:t xml:space="preserve">…</w:t>
      </w:r>
    </w:p>
    <w:p w:rsidR="00000000" w:rsidDel="00000000" w:rsidP="00000000" w:rsidRDefault="00000000" w:rsidRPr="00000000" w14:paraId="00000021">
      <w:pPr>
        <w:spacing w:after="0" w:line="240" w:lineRule="auto"/>
        <w:jc w:val="both"/>
        <w:rPr>
          <w:rFonts w:ascii="David" w:cs="David" w:eastAsia="David" w:hAnsi="David"/>
        </w:rPr>
      </w:pPr>
      <w:r w:rsidDel="00000000" w:rsidR="00000000" w:rsidRPr="00000000">
        <w:rPr>
          <w:rFonts w:ascii="David" w:cs="David" w:eastAsia="David" w:hAnsi="David"/>
          <w:rtl w:val="0"/>
        </w:rPr>
        <w:t xml:space="preserve">In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addition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because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of</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this</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men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will</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mingle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with</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women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without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being</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detected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and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it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will</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lead</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to</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adultery</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Nevertheless</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can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say</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about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this</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1"/>
        </w:rPr>
        <w:t xml:space="preserve">מוטב</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שיהיו</w:t>
      </w:r>
      <w:r w:rsidDel="00000000" w:rsidR="00000000" w:rsidRPr="00000000">
        <w:rPr>
          <w:rFonts w:ascii="David" w:cs="David" w:eastAsia="David" w:hAnsi="David"/>
          <w:rtl w:val="1"/>
        </w:rPr>
        <w:t xml:space="preserve"> </w:t>
      </w:r>
      <w:r w:rsidDel="00000000" w:rsidR="00000000" w:rsidRPr="00000000">
        <w:rPr>
          <w:rFonts w:ascii="David" w:cs="David" w:eastAsia="David" w:hAnsi="David"/>
          <w:rtl w:val="1"/>
        </w:rPr>
        <w:t xml:space="preserve">שוגגין</w:t>
      </w:r>
      <w:r w:rsidDel="00000000" w:rsidR="00000000" w:rsidRPr="00000000">
        <w:rPr>
          <w:rFonts w:ascii="David" w:cs="David" w:eastAsia="David" w:hAnsi="David"/>
          <w:rtl w:val="0"/>
        </w:rPr>
        <w:t xml:space="preserve">…</w:t>
      </w:r>
      <w:r w:rsidDel="00000000" w:rsidR="00000000" w:rsidRPr="00000000">
        <w:rPr>
          <w:rFonts w:ascii="David" w:cs="David" w:eastAsia="David" w:hAnsi="David"/>
          <w:rtl w:val="0"/>
        </w:rPr>
        <w:t xml:space="preserve">but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those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who</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fear</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Heaven</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will</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be</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careful</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about</w:t>
      </w:r>
      <w:r w:rsidDel="00000000" w:rsidR="00000000" w:rsidRPr="00000000">
        <w:rPr>
          <w:rFonts w:ascii="David" w:cs="David" w:eastAsia="David" w:hAnsi="David"/>
          <w:rtl w:val="0"/>
        </w:rPr>
        <w:t xml:space="preserve"> </w:t>
      </w:r>
      <w:r w:rsidDel="00000000" w:rsidR="00000000" w:rsidRPr="00000000">
        <w:rPr>
          <w:rFonts w:ascii="David" w:cs="David" w:eastAsia="David" w:hAnsi="David"/>
          <w:rtl w:val="0"/>
        </w:rPr>
        <w:t xml:space="preserve">this</w:t>
      </w:r>
      <w:r w:rsidDel="00000000" w:rsidR="00000000" w:rsidRPr="00000000">
        <w:rPr>
          <w:rFonts w:ascii="David" w:cs="David" w:eastAsia="David" w:hAnsi="David"/>
          <w:rtl w:val="0"/>
        </w:rPr>
        <w:t xml:space="preserve">. </w:t>
      </w:r>
    </w:p>
    <w:p w:rsidR="00000000" w:rsidDel="00000000" w:rsidP="00000000" w:rsidRDefault="00000000" w:rsidRPr="00000000" w14:paraId="00000022">
      <w:pPr>
        <w:bidi w:val="1"/>
        <w:spacing w:after="0" w:line="240" w:lineRule="auto"/>
        <w:jc w:val="both"/>
        <w:rPr>
          <w:rFonts w:ascii="David" w:cs="David" w:eastAsia="David" w:hAnsi="David"/>
          <w:sz w:val="24"/>
          <w:szCs w:val="24"/>
        </w:rPr>
      </w:pPr>
      <w:r w:rsidDel="00000000" w:rsidR="00000000" w:rsidRPr="00000000">
        <w:rPr>
          <w:rtl w:val="0"/>
        </w:rPr>
      </w:r>
    </w:p>
    <w:tbl>
      <w:tblPr>
        <w:tblStyle w:val="Table2"/>
        <w:bidiVisual w:val="1"/>
        <w:tblW w:w="104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400"/>
      </w:tblPr>
      <w:tblGrid>
        <w:gridCol w:w="5019"/>
        <w:gridCol w:w="5421"/>
        <w:tblGridChange w:id="0">
          <w:tblGrid>
            <w:gridCol w:w="5019"/>
            <w:gridCol w:w="5421"/>
          </w:tblGrid>
        </w:tblGridChange>
      </w:tblGrid>
      <w:tr>
        <w:tc>
          <w:tcPr/>
          <w:p w:rsidR="00000000" w:rsidDel="00000000" w:rsidP="00000000" w:rsidRDefault="00000000" w:rsidRPr="00000000" w14:paraId="00000023">
            <w:pPr>
              <w:bidi w:val="1"/>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משנה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ברורה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סימן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תרצו</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ל</w:t>
            </w:r>
            <w:r w:rsidDel="00000000" w:rsidR="00000000" w:rsidRPr="00000000">
              <w:rPr>
                <w:rFonts w:ascii="David" w:cs="David" w:eastAsia="David" w:hAnsi="David"/>
                <w:b w:val="1"/>
                <w:sz w:val="24"/>
                <w:szCs w:val="24"/>
                <w:rtl w:val="1"/>
              </w:rPr>
              <w:t xml:space="preserve"> </w:t>
            </w:r>
          </w:p>
          <w:p w:rsidR="00000000" w:rsidDel="00000000" w:rsidP="00000000" w:rsidRDefault="00000000" w:rsidRPr="00000000" w14:paraId="00000024">
            <w:pPr>
              <w:bidi w:val="1"/>
              <w:jc w:val="both"/>
              <w:rPr>
                <w:rFonts w:ascii="David" w:cs="David" w:eastAsia="David" w:hAnsi="David"/>
                <w:sz w:val="24"/>
                <w:szCs w:val="24"/>
              </w:rPr>
            </w:pPr>
            <w:r w:rsidDel="00000000" w:rsidR="00000000" w:rsidRPr="00000000">
              <w:rPr>
                <w:rtl w:val="0"/>
              </w:rPr>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הראשונה</w:t>
            </w:r>
            <w:r w:rsidDel="00000000" w:rsidR="00000000" w:rsidRPr="00000000">
              <w:rPr>
                <w:rFonts w:ascii="David" w:cs="David" w:eastAsia="David" w:hAnsi="David"/>
                <w:sz w:val="24"/>
                <w:szCs w:val="24"/>
                <w:rtl w:val="1"/>
              </w:rPr>
              <w:t xml:space="preserve"> - </w:t>
            </w:r>
            <w:r w:rsidDel="00000000" w:rsidR="00000000" w:rsidRPr="00000000">
              <w:rPr>
                <w:rFonts w:ascii="David" w:cs="David" w:eastAsia="David" w:hAnsi="David"/>
                <w:sz w:val="24"/>
                <w:szCs w:val="24"/>
                <w:rtl w:val="1"/>
              </w:rPr>
              <w:t xml:space="preserve">עיין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ביו</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סימן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קפ</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שכתב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הט</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ז</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לבטל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מנהג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בפורים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בשמחת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נישואין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ואם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המלבושים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איש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רק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מלבוש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אשה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וניכרים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אפשר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שאין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למחות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בהם</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פמ</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ועיין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בכנה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ובשל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שהזהירו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להרחיק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מזה</w:t>
            </w:r>
            <w:r w:rsidDel="00000000" w:rsidR="00000000" w:rsidRPr="00000000">
              <w:rPr>
                <w:rFonts w:ascii="David" w:cs="David" w:eastAsia="David" w:hAnsi="David"/>
                <w:sz w:val="24"/>
                <w:szCs w:val="24"/>
                <w:rtl w:val="1"/>
              </w:rPr>
              <w:t xml:space="preserve">:</w:t>
            </w:r>
          </w:p>
        </w:tc>
        <w:tc>
          <w:tcPr/>
          <w:p w:rsidR="00000000" w:rsidDel="00000000" w:rsidP="00000000" w:rsidRDefault="00000000" w:rsidRPr="00000000" w14:paraId="00000025">
            <w:pPr>
              <w:bidi w:val="1"/>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ערוך</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השולחן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אורח</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חיים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הלכות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מגילה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סימן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תרצו</w:t>
            </w:r>
            <w:r w:rsidDel="00000000" w:rsidR="00000000" w:rsidRPr="00000000">
              <w:rPr>
                <w:rFonts w:ascii="David" w:cs="David" w:eastAsia="David" w:hAnsi="David"/>
                <w:b w:val="1"/>
                <w:sz w:val="24"/>
                <w:szCs w:val="24"/>
                <w:rtl w:val="1"/>
              </w:rPr>
              <w:t xml:space="preserve"> </w:t>
            </w:r>
          </w:p>
          <w:p w:rsidR="00000000" w:rsidDel="00000000" w:rsidP="00000000" w:rsidRDefault="00000000" w:rsidRPr="00000000" w14:paraId="00000026">
            <w:pPr>
              <w:bidi w:val="1"/>
              <w:jc w:val="both"/>
              <w:rPr>
                <w:rFonts w:ascii="David" w:cs="David" w:eastAsia="David" w:hAnsi="David"/>
                <w:b w:val="1"/>
                <w:sz w:val="24"/>
                <w:szCs w:val="24"/>
              </w:rPr>
            </w:pPr>
            <w:r w:rsidDel="00000000" w:rsidR="00000000" w:rsidRPr="00000000">
              <w:rPr>
                <w:rFonts w:ascii="David" w:cs="David" w:eastAsia="David" w:hAnsi="David"/>
                <w:sz w:val="24"/>
                <w:szCs w:val="24"/>
                <w:rtl w:val="1"/>
              </w:rPr>
              <w:t xml:space="preserve">ומה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שנהגו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בימים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קדמונים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בלבישת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פרצופים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משעטנז</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ושל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עכשיו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נהגו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כן</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שהזיק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לשלם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דעתה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בעונותינו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הרבים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ערבה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שמחה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במדריגה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ומ</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הרמ</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בסעיף</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ח</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הוא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לקיים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שנהגו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בימיו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עכשיו</w:t>
            </w:r>
            <w:r w:rsidDel="00000000" w:rsidR="00000000" w:rsidRPr="00000000">
              <w:rPr>
                <w:rFonts w:ascii="David" w:cs="David" w:eastAsia="David" w:hAnsi="David"/>
                <w:sz w:val="24"/>
                <w:szCs w:val="24"/>
                <w:rtl w:val="0"/>
              </w:rPr>
              <w:t xml:space="preserve">]:</w:t>
            </w:r>
            <w:r w:rsidDel="00000000" w:rsidR="00000000" w:rsidRPr="00000000">
              <w:rPr>
                <w:rtl w:val="0"/>
              </w:rPr>
            </w:r>
          </w:p>
        </w:tc>
      </w:tr>
    </w:tbl>
    <w:p w:rsidR="00000000" w:rsidDel="00000000" w:rsidP="00000000" w:rsidRDefault="00000000" w:rsidRPr="00000000" w14:paraId="00000027">
      <w:pPr>
        <w:bidi w:val="1"/>
        <w:spacing w:after="0"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28">
      <w:pPr>
        <w:bidi w:val="1"/>
        <w:spacing w:after="0" w:line="240" w:lineRule="auto"/>
        <w:jc w:val="both"/>
        <w:rPr>
          <w:rFonts w:ascii="David" w:cs="David" w:eastAsia="David" w:hAnsi="David"/>
          <w:b w:val="1"/>
          <w:sz w:val="24"/>
          <w:szCs w:val="24"/>
        </w:rPr>
      </w:pPr>
      <w:commentRangeStart w:id="3"/>
      <w:r w:rsidDel="00000000" w:rsidR="00000000" w:rsidRPr="00000000">
        <w:rPr>
          <w:rFonts w:ascii="David" w:cs="David" w:eastAsia="David" w:hAnsi="David"/>
          <w:b w:val="1"/>
          <w:sz w:val="24"/>
          <w:szCs w:val="24"/>
          <w:rtl w:val="1"/>
        </w:rPr>
        <w:t xml:space="preserve">שו</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יחווה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דעת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חלק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סימן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נ</w:t>
      </w:r>
      <w:r w:rsidDel="00000000" w:rsidR="00000000" w:rsidRPr="00000000">
        <w:rPr>
          <w:rFonts w:ascii="David" w:cs="David" w:eastAsia="David" w:hAnsi="David"/>
          <w:b w:val="1"/>
          <w:sz w:val="24"/>
          <w:szCs w:val="24"/>
          <w:rtl w:val="1"/>
        </w:rPr>
        <w:t xml:space="preserve">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29">
      <w:pPr>
        <w:bidi w:val="1"/>
        <w:spacing w:after="0" w:line="240"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ונראה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שהגדולים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מוזהרים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הקטנים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להלביש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הילדים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בגדי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ילדות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להיפך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מצות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חינוך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אפילו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באיסור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מדברי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סופרים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למספי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בידים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וכמו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שפסק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הרמב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הלכות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מאכלות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אסורות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פרק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יז</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הלכה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כז</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שאסור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להאכיל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הקטן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בידים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ואפילו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שאיסורם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מדברי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סופרים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ואביו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מצווה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לגעור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ולהפרישו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האיסורים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כדי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לחנכו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בקדושה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חנוך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לנער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דרכו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יזקין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ממנה</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2A">
      <w:pPr>
        <w:bidi w:val="1"/>
        <w:spacing w:after="0" w:line="240" w:lineRule="auto"/>
        <w:jc w:val="both"/>
        <w:rPr>
          <w:rFonts w:ascii="David" w:cs="David" w:eastAsia="David" w:hAnsi="David"/>
          <w:sz w:val="24"/>
          <w:szCs w:val="24"/>
        </w:rPr>
      </w:pPr>
      <w:r w:rsidDel="00000000" w:rsidR="00000000" w:rsidRPr="00000000">
        <w:rPr>
          <w:rtl w:val="0"/>
        </w:rPr>
      </w:r>
    </w:p>
    <w:tbl>
      <w:tblPr>
        <w:tblStyle w:val="Table3"/>
        <w:bidiVisual w:val="1"/>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91"/>
        <w:gridCol w:w="4149"/>
        <w:tblGridChange w:id="0">
          <w:tblGrid>
            <w:gridCol w:w="6291"/>
            <w:gridCol w:w="4149"/>
          </w:tblGrid>
        </w:tblGridChange>
      </w:tblGrid>
      <w:tr>
        <w:tc>
          <w:tcPr/>
          <w:p w:rsidR="00000000" w:rsidDel="00000000" w:rsidP="00000000" w:rsidRDefault="00000000" w:rsidRPr="00000000" w14:paraId="0000002B">
            <w:pPr>
              <w:bidi w:val="1"/>
              <w:jc w:val="both"/>
              <w:rPr>
                <w:rFonts w:ascii="David" w:cs="David" w:eastAsia="David" w:hAnsi="David"/>
                <w:sz w:val="24"/>
                <w:szCs w:val="24"/>
              </w:rPr>
            </w:pPr>
            <w:commentRangeStart w:id="4"/>
            <w:r w:rsidDel="00000000" w:rsidR="00000000" w:rsidRPr="00000000">
              <w:rPr>
                <w:rFonts w:ascii="David" w:cs="David" w:eastAsia="David" w:hAnsi="David"/>
              </w:rPr>
              <w:drawing>
                <wp:inline distB="0" distT="0" distL="0" distR="0">
                  <wp:extent cx="3917867" cy="292375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917867" cy="2923750"/>
                          </a:xfrm>
                          <a:prstGeom prst="rect"/>
                          <a:ln/>
                        </pic:spPr>
                      </pic:pic>
                    </a:graphicData>
                  </a:graphic>
                </wp:inline>
              </w:drawing>
            </w:r>
            <w:commentRangeEnd w:id="4"/>
            <w:r w:rsidDel="00000000" w:rsidR="00000000" w:rsidRPr="00000000">
              <w:commentReference w:id="4"/>
            </w:r>
            <w:r w:rsidDel="00000000" w:rsidR="00000000" w:rsidRPr="00000000">
              <w:rPr>
                <w:rtl w:val="0"/>
              </w:rPr>
            </w:r>
          </w:p>
        </w:tc>
        <w:tc>
          <w:tcPr/>
          <w:p w:rsidR="00000000" w:rsidDel="00000000" w:rsidP="00000000" w:rsidRDefault="00000000" w:rsidRPr="00000000" w14:paraId="0000002C">
            <w:pPr>
              <w:bidi w:val="1"/>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משנה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ברורה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דרשו</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תרצ</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ו</w:t>
            </w:r>
          </w:p>
          <w:p w:rsidR="00000000" w:rsidDel="00000000" w:rsidP="00000000" w:rsidRDefault="00000000" w:rsidRPr="00000000" w14:paraId="0000002D">
            <w:pPr>
              <w:bidi w:val="1"/>
              <w:jc w:val="both"/>
              <w:rPr>
                <w:rFonts w:ascii="David" w:cs="David" w:eastAsia="David" w:hAnsi="David"/>
                <w:sz w:val="24"/>
                <w:szCs w:val="24"/>
              </w:rPr>
            </w:pPr>
            <w:r w:rsidDel="00000000" w:rsidR="00000000" w:rsidRPr="00000000">
              <w:rPr>
                <w:rFonts w:ascii="David" w:cs="David" w:eastAsia="David" w:hAnsi="David"/>
              </w:rPr>
              <w:drawing>
                <wp:inline distB="0" distT="0" distL="0" distR="0">
                  <wp:extent cx="2532910" cy="2766353"/>
                  <wp:effectExtent b="0" l="0" r="0" t="0"/>
                  <wp:docPr descr="dirshu mb on purim costumes.jpg (1816×1984)" id="2" name="image2.jpg"/>
                  <a:graphic>
                    <a:graphicData uri="http://schemas.openxmlformats.org/drawingml/2006/picture">
                      <pic:pic>
                        <pic:nvPicPr>
                          <pic:cNvPr descr="dirshu mb on purim costumes.jpg (1816×1984)" id="0" name="image2.jpg"/>
                          <pic:cNvPicPr preferRelativeResize="0"/>
                        </pic:nvPicPr>
                        <pic:blipFill>
                          <a:blip r:embed="rId9"/>
                          <a:srcRect b="0" l="0" r="0" t="0"/>
                          <a:stretch>
                            <a:fillRect/>
                          </a:stretch>
                        </pic:blipFill>
                        <pic:spPr>
                          <a:xfrm>
                            <a:off x="0" y="0"/>
                            <a:ext cx="2532910" cy="276635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E">
      <w:pPr>
        <w:bidi w:val="1"/>
        <w:spacing w:after="0"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2F">
      <w:pPr>
        <w:bidi w:val="1"/>
        <w:spacing w:after="0"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שו</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שבט</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הלוי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חלק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סימן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יח</w:t>
      </w:r>
      <w:r w:rsidDel="00000000" w:rsidR="00000000" w:rsidRPr="00000000">
        <w:rPr>
          <w:rFonts w:ascii="David" w:cs="David" w:eastAsia="David" w:hAnsi="David"/>
          <w:b w:val="1"/>
          <w:sz w:val="24"/>
          <w:szCs w:val="24"/>
          <w:rtl w:val="1"/>
        </w:rPr>
        <w:t xml:space="preserve"> </w:t>
      </w:r>
    </w:p>
    <w:p w:rsidR="00000000" w:rsidDel="00000000" w:rsidP="00000000" w:rsidRDefault="00000000" w:rsidRPr="00000000" w14:paraId="00000030">
      <w:pPr>
        <w:bidi w:val="1"/>
        <w:spacing w:after="0" w:line="240" w:lineRule="auto"/>
        <w:jc w:val="both"/>
        <w:rPr>
          <w:rFonts w:ascii="David" w:cs="David" w:eastAsia="David" w:hAnsi="David"/>
          <w:sz w:val="24"/>
          <w:szCs w:val="24"/>
          <w:u w:val="single"/>
        </w:rPr>
      </w:pP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אשר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שאל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בענין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אשר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נוהגים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בתחפושת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בפורים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החלפת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בגדים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כגון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ליטאי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שטראמל</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להיפך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מותר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להתפלל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תפלת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מנחה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מעריב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עפ</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המבואר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שצריך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כדרך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שעומד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אנשים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חשובים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הנה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לדעתי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חיצונית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המלבוש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קובע</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אופן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עמדו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לפני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השי</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בתפלה</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המבואר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דיחשוב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כאלו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שכינה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כנגדו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ועומד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העולם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ועוד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ועוד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וכיון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שמתפלל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פ</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הלכה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והוא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מכוסה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כהלכה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ואינו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עושה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שום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שחוק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נפ</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מ</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באיזה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בגד</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עומד</w:t>
      </w:r>
      <w:r w:rsidDel="00000000" w:rsidR="00000000" w:rsidRPr="00000000">
        <w:rPr>
          <w:rFonts w:ascii="David" w:cs="David" w:eastAsia="David" w:hAnsi="David"/>
          <w:sz w:val="24"/>
          <w:szCs w:val="24"/>
          <w:u w:val="single"/>
          <w:rtl w:val="1"/>
        </w:rPr>
        <w:t xml:space="preserve">. </w:t>
      </w:r>
    </w:p>
    <w:p w:rsidR="00000000" w:rsidDel="00000000" w:rsidP="00000000" w:rsidRDefault="00000000" w:rsidRPr="00000000" w14:paraId="00000031">
      <w:pPr>
        <w:bidi w:val="1"/>
        <w:spacing w:after="0" w:line="240" w:lineRule="auto"/>
        <w:jc w:val="both"/>
        <w:rPr>
          <w:rFonts w:ascii="David" w:cs="David" w:eastAsia="David" w:hAnsi="David"/>
          <w:sz w:val="24"/>
          <w:szCs w:val="24"/>
        </w:rPr>
      </w:pPr>
      <w:r w:rsidDel="00000000" w:rsidR="00000000" w:rsidRPr="00000000">
        <w:rPr>
          <w:rtl w:val="0"/>
        </w:rPr>
      </w:r>
    </w:p>
    <w:sectPr>
      <w:pgSz w:h="15840" w:w="12240" w:orient="portrait"/>
      <w:pgMar w:bottom="720" w:top="720" w:left="1008" w:right="1008"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0" w:date="2018-02-15T22:25:00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Chaim Naeh</w:t>
      </w:r>
    </w:p>
  </w:comment>
  <w:comment w:author="Dani Schreiber" w:id="2" w:date="2018-02-15T23:18:00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Judah ben Eliezer ha-Levi Minz (c. 1405 – 1508), also known as Mahari Minz, was the most prominent Italian rabbi of his time.</w:t>
      </w:r>
    </w:p>
  </w:comment>
  <w:comment w:author="Dani Schreiber" w:id="1" w:date="2018-02-15T22:27:00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יוסף</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לעווי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תשע</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ד</w:t>
      </w:r>
    </w:p>
  </w:comment>
  <w:comment w:author="Dani Schreiber" w:id="4" w:date="2018-02-15T23:34:00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Rabbi Yosef Messas, 1892-1974, Morocco</w:t>
      </w:r>
    </w:p>
  </w:comment>
  <w:comment w:author="Dani Schreiber" w:id="3" w:date="2018-02-15T23:25:00Z">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Orchos Rabbeinu 3:page 60:105. Steipler says it’s okay for kids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David"/>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