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bidi w:val="1"/>
        <w:jc w:val="both"/>
        <w:rPr/>
      </w:pPr>
      <w:bookmarkStart w:colFirst="0" w:colLast="0" w:name="_jxp7hlodp3nc" w:id="0"/>
      <w:bookmarkEnd w:id="0"/>
      <w:r w:rsidDel="00000000" w:rsidR="00000000" w:rsidRPr="00000000">
        <w:rPr>
          <w:rtl w:val="1"/>
        </w:rPr>
        <w:t xml:space="preserve">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</w:p>
    <w:p w:rsidR="00000000" w:rsidDel="00000000" w:rsidP="00000000" w:rsidRDefault="00000000" w:rsidRPr="00000000" w14:paraId="00000002">
      <w:pPr>
        <w:pStyle w:val="Heading1"/>
        <w:jc w:val="both"/>
        <w:rPr>
          <w:color w:val="202122"/>
          <w:sz w:val="21"/>
          <w:szCs w:val="21"/>
          <w:highlight w:val="white"/>
        </w:rPr>
      </w:pPr>
      <w:bookmarkStart w:colFirst="0" w:colLast="0" w:name="_8t363ojwylr1" w:id="1"/>
      <w:bookmarkEnd w:id="1"/>
      <w:r w:rsidDel="00000000" w:rsidR="00000000" w:rsidRPr="00000000">
        <w:rPr>
          <w:b w:val="1"/>
          <w:color w:val="202122"/>
          <w:sz w:val="21"/>
          <w:szCs w:val="21"/>
          <w:highlight w:val="white"/>
          <w:rtl w:val="0"/>
        </w:rPr>
        <w:t xml:space="preserve">Chaim ibn Attar</w:t>
      </w: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 or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0"/>
        </w:rPr>
        <w:t xml:space="preserve">Ḥayyim ben Moshe ibn Attar</w:t>
      </w: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 (</w:t>
      </w:r>
      <w:hyperlink r:id="rId6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Arabic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: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حاييم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بن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موشي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بن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1"/>
        </w:rPr>
        <w:t xml:space="preserve">عطار</w:t>
      </w: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‎, </w:t>
      </w:r>
      <w:hyperlink r:id="rId7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Hebrew</w:t>
        </w:r>
      </w:hyperlink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color w:val="202122"/>
          <w:sz w:val="24"/>
          <w:szCs w:val="24"/>
          <w:highlight w:val="whit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02122"/>
          <w:sz w:val="24"/>
          <w:szCs w:val="24"/>
          <w:highlight w:val="whit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02122"/>
          <w:sz w:val="24"/>
          <w:szCs w:val="24"/>
          <w:highlight w:val="whit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02122"/>
          <w:sz w:val="24"/>
          <w:szCs w:val="24"/>
          <w:highlight w:val="whit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202122"/>
          <w:sz w:val="24"/>
          <w:szCs w:val="24"/>
          <w:highlight w:val="white"/>
          <w:rtl w:val="1"/>
        </w:rPr>
        <w:t xml:space="preserve">עטר</w:t>
      </w: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‎; b. c. 1696 - 7 July 1743) also known as the </w:t>
      </w:r>
      <w:r w:rsidDel="00000000" w:rsidR="00000000" w:rsidRPr="00000000">
        <w:rPr>
          <w:b w:val="1"/>
          <w:color w:val="202122"/>
          <w:sz w:val="21"/>
          <w:szCs w:val="21"/>
          <w:highlight w:val="white"/>
          <w:rtl w:val="0"/>
        </w:rPr>
        <w:t xml:space="preserve">Or ha-Ḥayyim</w:t>
      </w: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 after his popular commentary on the </w:t>
      </w:r>
      <w:hyperlink r:id="rId8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Pentateuch</w:t>
        </w:r>
      </w:hyperlink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, was a </w:t>
      </w:r>
      <w:hyperlink r:id="rId9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Talmudist</w:t>
        </w:r>
      </w:hyperlink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 and </w:t>
      </w:r>
      <w:hyperlink r:id="rId10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Kabbalist</w:t>
        </w:r>
      </w:hyperlink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. He is arguably considered to be one of the most prominent </w:t>
      </w:r>
      <w:hyperlink r:id="rId11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Rabbis</w:t>
        </w:r>
      </w:hyperlink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 of </w:t>
      </w:r>
      <w:hyperlink r:id="rId12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Morocco</w:t>
        </w:r>
      </w:hyperlink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1"/>
        <w:bidi w:val="1"/>
        <w:jc w:val="both"/>
        <w:rPr/>
      </w:pPr>
      <w:bookmarkStart w:colFirst="0" w:colLast="0" w:name="_rmox91u26gcg" w:id="2"/>
      <w:bookmarkEnd w:id="2"/>
      <w:r w:rsidDel="00000000" w:rsidR="00000000" w:rsidRPr="00000000">
        <w:rPr>
          <w:rtl w:val="1"/>
        </w:rPr>
        <w:t xml:space="preserve">בראשית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במשמעות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לשפע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המקיים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וצורכי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מושגים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ויגיעה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הגשמית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וחולין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השביעי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וברכו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מושגת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מהפרישות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ותענוגים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יתירים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משתלשל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השפע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יכוין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שהספיק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בעשרת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הבריאה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זולת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לטעם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הנודע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ידוע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ליודעי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ונתחכם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וברא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ידוע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ומשפיע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נפש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המקיים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וזולת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להכינו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ובאמצעות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מהתיקון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מהבריאה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שהבריאה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התיקון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תיקן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ובאמצעות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משפיע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המקיימת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שותף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רחוקים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ודחוקים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וישתתף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שותף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שבאמצעותה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שותף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להגדיל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וגבורה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להאריך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עילאה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ויחייהו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ויקיימהו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שמקיימים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מקיימים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קדושתו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באמצעות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ומאמצעותו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שותף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וכהלכה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המעמיד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יסוד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וכשזה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מתושלח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במצרים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כמאמרם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ונקבה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כנגדו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ויצר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לזווג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לזווג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ובהמה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שיסיר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ולזווגה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ותחתונים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תרדמה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?... </w:t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עירובין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פרצופין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נבראו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פרצוף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זנב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דבוקה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כסברתו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כסברתו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בהכנת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הנסירה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שהכינם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בהיותם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ולקחה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דביקתה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הבראם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משכיל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הפלגת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להתחכם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הפלגת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לחקור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שנתגלגל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ולכללות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הנבראים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ומצאנוה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וכליון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ששלט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הנחש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ונצח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והסיתה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לנבראים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שנסרה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תכלית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הבריאה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לנחש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להסית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נתחכם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לקיחת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הצלע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להטיב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לטובה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אלהינו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ומשמעות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בבריאת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ונקבה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פרצופין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נכון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זוג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לבדו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והמשל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ירצה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ללכת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חפציו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תלך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תלך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לשמש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ילך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ונמצא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כנגדו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נפרד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לשמשו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ולהכנתו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ההולדה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והזיווג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הוטבע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הנסירה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קיחת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הנקבה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מציאות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שיגזור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מהנבראים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להועיל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יצירתה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וייצר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קריאת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המזג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ובאמצעות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ההכרה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מציאות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והוכרח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לקלוע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הנקבה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ולעשותה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כנגדו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והכוונה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לטובת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שיצא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סיבה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להמצאת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ביחוד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מבלעדי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והכישה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נחש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לטובה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לגזרת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הסובב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מופרדת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ויקח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מצלעותיו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וקנתה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ההכרח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שבקש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מהנבראים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והוכרח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הנקבה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כנגדו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טמונה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מאחוריו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סובלו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צרכיו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דרכינו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בחקירה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ממחשבתו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ונסרה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לטובה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ונקבה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הפרידם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הנבראים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נשתוין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מציאות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להכנתו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ונכבדים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לבלתי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כמאמרם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בבקשת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ושלילתו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והמצאתו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הנקבה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נפרדת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הזיוג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ולרבות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להרכבה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שיריק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הנוצר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לחקור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לאיזה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בגוף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בראה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בריה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הזכר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הפרש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הכנת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זיווג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האנושי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מזיווג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הבהמי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זיווג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הבהמי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פועל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פעולת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ההזרעה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נקבה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תזדמן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בסוג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זכר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ונקבה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שיתחייב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זכר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להכיר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נקבתו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שממינו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יזדמן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ממינו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רשאי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רישום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וייחוד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לנקבת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זכר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בבהמי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פרתו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וזו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פרתו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מלבד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שמובדל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בבחינת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מובדל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בפרטי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זוגו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נתחכם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לבנות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זוגו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מעצמיו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מבשרו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כשהזהיר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כינוי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הנקבות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הברואים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ומעשיהם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מושכו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אצטגנינין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מושגת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מהנדמה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ואשכילך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לשלול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הידיעה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המושגת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בידיעתו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ידענה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כשירצה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האדון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באנוש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שתגיע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הידיעה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ידענה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שרמז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להשיג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הידיעה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מושללת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הביט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ביעקב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עמל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הנך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רואה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כשירצה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יושלל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הידיעה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שהידיעה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מעצמה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שהידיעה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ימנע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בבחינה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מהידיעה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פשעי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סיבות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הפשטי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יביט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התיעוב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יספיק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והנמשך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שנתחכם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תחול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ידיעתו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מכרחת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פלוני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יפחד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ויחדל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מעושק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הצדיקים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מהידיעה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שמח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ולסיבה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הבריאה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לפלוני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המרשיע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ובערך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לטענת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מכרחת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התשלום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טוען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שיבואו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בטענה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יקבלו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לטעון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שטענה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לפוטרם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מפרט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הבחירה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ובחרו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ומאסו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ברצונם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תמיהה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וינחם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נחמתי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כא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ויצילהו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בחירה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ורצון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ויכול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להרוג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נתחייב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רעות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יפגעו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יתחייב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לשמים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ויצילהו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הבחירי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חלומותיו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הבחירה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יהרגוהו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David Libre" w:cs="David Libre" w:eastAsia="David Libre" w:hAnsi="David Libre"/>
          <w:sz w:val="24"/>
          <w:szCs w:val="24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גורמים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תשפכו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השליכו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להצילו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נאמנה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ירעו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ישחיתו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הנחשים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והעקרבים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יעכבנו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ברעב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שתכף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שחזר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להוציאו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pStyle w:val="Heading1"/>
        <w:bidi w:val="1"/>
        <w:jc w:val="both"/>
        <w:rPr/>
      </w:pPr>
      <w:bookmarkStart w:colFirst="0" w:colLast="0" w:name="_p2wwdhdsl2je" w:id="3"/>
      <w:bookmarkEnd w:id="3"/>
      <w:r w:rsidDel="00000000" w:rsidR="00000000" w:rsidRPr="00000000">
        <w:rPr>
          <w:rtl w:val="1"/>
        </w:rPr>
        <w:t xml:space="preserve">שמות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שמשמעות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מלאכת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שהוצרך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ולהשיג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ובפרט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המקודשים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ולדרכנו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נשכיל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שהכוונה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שרמז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תבונתו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בכתב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מפרש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תורתינו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שתתעלה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דבריה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מזוקקים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ואותיותיה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ספורות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מגדת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ונפלאות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יסד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האדון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בחכמה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בשבעים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פנים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וארבעה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אופנים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נתיבות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נתיב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שבילין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מאמרם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ודקדוקים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להכירם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יקחך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לעבדיו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להעלים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תעלומות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תשובתך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לנוכח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עיניך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יכילם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ספר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קדמונינו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הרקיעים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גוילים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תלמידו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רמוז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אדונינו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תבונות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בנבראים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הודיעו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להשמיעם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להשמיע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הסתום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שממעיט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שפירשתי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לשמוע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להתהלך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באורחות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הצריכין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וישכימו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ממחרת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הרגשה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העגל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תכף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ולמחרת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שהעלו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ושלמים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מקפיד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תכף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זביחה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נתעכב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וישתחוו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ויזבחו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שזבחו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למחרת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ללימוד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זובחים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קבלוה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לאלוה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ושתקו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ובהכרח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שהמועטים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הסכימו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המרובים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והורגים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המרובים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מתחייבים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שקדם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ארבעים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הארבעים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הלוחות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כמאמרם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הגבול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לרדת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סופם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אפרשנו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שהרגיש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הקהלם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אהרן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אלהינו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יקום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מחשבות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חקירה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בהנהגות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ברואיו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מהטעמים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המושגים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שלפנינו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לטעמים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טעמו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בצדו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בהכרח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לקבלת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הלוחות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נסתרות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והנגלות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להודיע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והלוחות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בריאתם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וכרמים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וזיתים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יראה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דרכים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כלליים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פרד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מארבעה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הדרגות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עליונים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המתכנים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אצילות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בריאה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יצירה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עשיה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הפשט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אורו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מאיר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העשיה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רמז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היצירה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הבריאה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האצילות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הקדמנו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רבות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הדרגה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גובהה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עשרה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לפניך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שלימים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חסר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חסרה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בחינה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וישרים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דרכי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לאלהינו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bidi w:val="1"/>
        <w:jc w:val="both"/>
        <w:rPr/>
      </w:pPr>
      <w:bookmarkStart w:colFirst="0" w:colLast="0" w:name="_s2y3gojmhazb" w:id="4"/>
      <w:bookmarkEnd w:id="4"/>
      <w:r w:rsidDel="00000000" w:rsidR="00000000" w:rsidRPr="00000000">
        <w:rPr>
          <w:rtl w:val="1"/>
        </w:rPr>
        <w:t xml:space="preserve">ויקרא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והדלקתו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השלחן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ככתבן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ומצותיו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שבעיות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הסוכות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המינים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הכיפורים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להיותם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בחודש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השביעי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המנורה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השלחן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המערכת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והשלחן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המתקבץ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משלמת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השביעיות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ועיקרם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בחקתי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בחקתי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שלמדם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נטועים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אצלו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חפץ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חקק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קהלת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בחשק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גזרה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חכמתו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ושוכח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חקתי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ירמוז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ומסורת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רמז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חקתי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יומם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והמסורת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בהליכתו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ובלכתך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באהבתה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26">
      <w:pPr>
        <w:pStyle w:val="Heading1"/>
        <w:bidi w:val="1"/>
        <w:jc w:val="both"/>
        <w:rPr/>
      </w:pPr>
      <w:bookmarkStart w:colFirst="0" w:colLast="0" w:name="_wbbrjx3jaari" w:id="5"/>
      <w:bookmarkEnd w:id="5"/>
      <w:r w:rsidDel="00000000" w:rsidR="00000000" w:rsidRPr="00000000">
        <w:rPr>
          <w:rtl w:val="1"/>
        </w:rPr>
        <w:t xml:space="preserve">במדבר</w:t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לה</w:t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בנסוע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ויתבאר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שרשמנו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שטעם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הליכת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לברר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ניצוצי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השבויות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ברשות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שוכן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ציה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החיצונים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המסית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והמפתה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לנדבק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ולהשחית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והמחבל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בטבעו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בנסוע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כשנוסע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ומתדבקים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ניצוצי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וכשמתבררים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ניצוצי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מתפוצצים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ומשתברים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הקליפות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ויפוצו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אויביך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הקליפות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הנאחזות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בניצוצי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יתפוצצו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רמז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וכנגד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בחינת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הרע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המפתה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וינוסו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משנאיך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מפניך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בחינות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המשניאים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ינוסו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המפתים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כמאמרם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בנסוע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כשחונה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ניצוצי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שיצטרך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ויספיק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ניצוצי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להתעכב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בשבילם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ניצוצי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לקבץ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הנקראים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ניצוצי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יקראו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שרמז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ותמצא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ניצוצי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הקדושה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הרשע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ונכבדים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וצא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ולמד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יצתה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ויכוין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להתפלל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להתעצם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קדושת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לנצח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ולברר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ימצא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9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bidi w:val="1"/>
        <w:jc w:val="both"/>
        <w:rPr/>
      </w:pPr>
      <w:bookmarkStart w:colFirst="0" w:colLast="0" w:name="_akh4w8ktv7dj" w:id="6"/>
      <w:bookmarkEnd w:id="6"/>
      <w:r w:rsidDel="00000000" w:rsidR="00000000" w:rsidRPr="00000000">
        <w:rPr>
          <w:rtl w:val="1"/>
        </w:rPr>
        <w:t xml:space="preserve">דברים</w:t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ואהבת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לבבך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שישתדל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להכניס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אהבת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בלבבו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וילהיבנו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באהבתו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הרגש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להרגיש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בכלילת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הרגשת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באהבתו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שהטועמו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טעימתו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התעוררות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יתעורר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נפשך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מתעורר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אמצעות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אהבת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נפשך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שמטבעו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אהבת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ומשקה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המצטער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והמתגדר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שהמאכל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החפץ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בהדרגה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בגדר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השיעור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מאדך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חפץ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שהממון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קהלת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אוהב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ישבע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כשאדם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מגיע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לקנות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יתעצם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חפצו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לחפוץ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בהוני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הונות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והולכת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תאותו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וגדלה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יצו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באהבתו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תשתער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ותוגבל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וכשיגיע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גדר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תגדל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האהבה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לגדר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עליון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מאדך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שחפץ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באנשי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בהשואה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לבבך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ונפשך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דרכנו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רחמים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ורחמך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הנדחת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בהמתם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האכזריות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שספרו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הישמעאלים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הרוצחים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שהורגים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ונכרתה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הרחמים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והבחינה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נשרשת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ברוצחי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הנדחת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הבטחה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רחמים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שהטבע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האכזריות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הרחמים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ישפיע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הרחמים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האכזריות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המעשה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ורחמך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אכזרי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לרחמן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863.9999999999999" w:top="863.9999999999999" w:left="1152" w:right="1152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n.wikipedia.org/wiki/Rabbi" TargetMode="External"/><Relationship Id="rId10" Type="http://schemas.openxmlformats.org/officeDocument/2006/relationships/hyperlink" Target="https://en.wikipedia.org/wiki/Kabbalah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en.wikipedia.org/wiki/Moroc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Talmud" TargetMode="External"/><Relationship Id="rId5" Type="http://schemas.openxmlformats.org/officeDocument/2006/relationships/styles" Target="styles.xml"/><Relationship Id="rId6" Type="http://schemas.openxmlformats.org/officeDocument/2006/relationships/hyperlink" Target="https://en.wikipedia.org/wiki/Arabic_language" TargetMode="External"/><Relationship Id="rId7" Type="http://schemas.openxmlformats.org/officeDocument/2006/relationships/hyperlink" Target="https://en.wikipedia.org/wiki/Hebrew_language" TargetMode="External"/><Relationship Id="rId8" Type="http://schemas.openxmlformats.org/officeDocument/2006/relationships/hyperlink" Target="https://en.wikipedia.org/wiki/Pentateu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