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line="240" w:lineRule="auto"/>
        <w:jc w:val="both"/>
        <w:rPr/>
      </w:pPr>
      <w:bookmarkStart w:colFirst="0" w:colLast="0" w:name="_cwrnwfu8y89n" w:id="0"/>
      <w:bookmarkEnd w:id="0"/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לב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נמוקי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ארבעה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בקמט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דימינא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דשמאלא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ארבעה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בתוכה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בשימושא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הדפוס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הנקדן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ששמעתי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ומארבעה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הלוחות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הלוחות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שוקעת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הלוחות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האותיות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ארבע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דפנות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לארבעה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אמצעי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בכתיבה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ספרדית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לשוקעת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והשניה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בולטת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ארבעה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הלוחות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אסכנדרני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מב</w:t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בולטת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מקמטי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ארבע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הקומץ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הצדדים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  <w:commentRangeStart w:id="0"/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1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קמו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מדידת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מיקראסקאפ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ריבוען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כרחבו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אלכסון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בריבועא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חומשי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באלכסונא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במציאות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החשבון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חומשי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ובהכרח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מרובעין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האלכסון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מכוון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מיקראסקאפ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האלכסון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חומשי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פורתא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בבכורות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לצמצם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המזבח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לצמצם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לכתחלה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ופלא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שהגרי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כשימדדו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ריבוע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במיקראסקאפ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5640"/>
        <w:tblGridChange w:id="0">
          <w:tblGrid>
            <w:gridCol w:w="4830"/>
            <w:gridCol w:w="5640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commentRangeStart w:id="2"/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מנחות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תפילין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יא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ומיירי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בנפסקה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הרצועה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המקפת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הראש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והזרוע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דהתם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בעינן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קשירה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יהיו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הרצועות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התלויות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למטה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שייך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קשירה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וקשרתם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לטוטפות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עיניך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דוקא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הראש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דכתיב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קשירה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למעוטי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קשירה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רצועות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התלויות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קשירה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ותפירה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התרומה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סימנים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תפילין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ריא</w:t>
            </w:r>
          </w:p>
          <w:p w:rsidR="00000000" w:rsidDel="00000000" w:rsidP="00000000" w:rsidRDefault="00000000" w:rsidRPr="00000000" w14:paraId="0000000F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בשמושא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ורב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אלפס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הביאו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אורכא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דרצועא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דימינא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טבורא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ולחזיא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דשמאלא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ובדרעא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אצבע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צרדה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ויהיו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משולשין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בתלת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זמנין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הלכך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רצועה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ארוכה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הקבורת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זרוע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אצבע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ויכרוך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פעמים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סביב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אצבעו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ימין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הטבור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שמאל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החזה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ורחבן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כאורך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נפסקה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הרצועה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ופחותה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מכשעור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תקנה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לקושרה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לתופרה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ויזהר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בהנחתן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יהפכו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הרצועות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ונוייהן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תרומת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הדשן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ותפירה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הגאונים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פושט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להקפיד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אקשיר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השיעור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לקשרו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commentRangeStart w:id="3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נפסקה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לתפור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שמקיף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שתקיף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לקשור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שתמתח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אמצעית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ויקשור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פוסלים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המתירים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commentRangeStart w:id="4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לג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לאביי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שנפסקה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המקפת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פוסלת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והראש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בתפירה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רצועות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הטבור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שלימה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פוסלת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והתפירה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ששייר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ההיקף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סגי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בהיקף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הקיבורת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?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5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שעורים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כד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ושאלתי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זליג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הנפלא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מקלימוויטש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בבריסק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להסתפק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בשיעורא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גודלין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בהחפצא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השיעור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יצויר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גודלין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בהחפצא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להכשיר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גרדומין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ולבישה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ללבישה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בלבישה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להלבישה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דצרי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שהציצי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בעצמן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גודלין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להכשיר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גרדומין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בתחילת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דזהו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החילוק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דבתשמישי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בקיום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בהחפצא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גרידא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דצריך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ללבוש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הרצועות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להכשיר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גרדומין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</w:t>
        <w:tab/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מחתינהו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בתשמישי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בתשמישי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להיפוך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דבתשמישי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לכשרות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יצויר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פוסלן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דבתשמישי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כשרו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ובתשמישי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פרטי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בעצמה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וגרדומין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כשרות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הצריך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לקדושתן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גרדומין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בתשמישי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דמהני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להכשירן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פסולין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חסרון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commentRangeStart w:id="6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קדושה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0"/>
        </w:rPr>
        <w:t xml:space="preserve">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A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לפשוטו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והנחתן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בשמו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פרשיותיה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מוכיחין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דביקות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לבבם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ולעומת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דביקות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וחטיבה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לדודי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ודודי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וכדמייתי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ומתפאר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מתפארים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ומשתבחים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להתדבק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ולהתפאר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בנחלתו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והגבורה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הגבורה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והעוז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הנחתן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השכינה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מגבורתו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השכינה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sectPr>
      <w:footerReference r:id="rId7" w:type="default"/>
      <w:pgSz w:h="15840" w:w="12240"/>
      <w:pgMar w:bottom="863.9999999999999" w:top="863.9999999999999" w:left="863.9999999999999" w:right="863.999999999999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19-12-02T14:59:30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ומזוזה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החיצונים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ומבפנים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וגנאי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הקציצה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ירוקין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לתפילין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הקציצה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והרצועה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שולחן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קפד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דבדיעבד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לעיכובא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פוסקים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ולעיכובא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ובביאור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ובשכנה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להחמיר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לסמוך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המקילין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להתבטל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</w:comment>
  <w:comment w:author="Dani Schreiber" w:id="1" w:date="2019-11-30T19:46:08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calculation of diagonal is imprecise</w:t>
      </w:r>
    </w:p>
  </w:comment>
  <w:comment w:author="Dani Schreiber" w:id="3" w:date="2019-11-30T19:50:59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rashi vs. rabbeinu tam about "what people do"</w:t>
      </w:r>
    </w:p>
  </w:comment>
  <w:comment w:author="Dani Schreiber" w:id="4" w:date="2019-11-30T19:50:21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ripped tefillin</w:t>
      </w:r>
    </w:p>
  </w:comment>
  <w:comment w:author="Dani Schreiber" w:id="2" w:date="2019-11-30T20:14:12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ripped tefillin under the head or arm</w:t>
      </w:r>
    </w:p>
  </w:comment>
  <w:comment w:author="Dani Schreiber" w:id="6" w:date="2019-12-02T15:27:28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נכתבו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ונמחקו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נקרעו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מייתינן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ינוקא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כדמעיקרא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וכשרין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דהכשרן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גרדומין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בתשמישי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הכשירא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דגרדומין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לענין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בתשמישי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דגרדומין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להכשירן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דפסולן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דנדרים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דהמתפיס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מתפיס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ומבואר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דקדושת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ההקדשות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שקדושת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פקעה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בגרדומין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נשארה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ולענין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גרידא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מועיל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דגרדומין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בתשמישי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ברצועות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יחודן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כדמוכח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בפלוגתא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דהזמנה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מילתא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תכריכי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והאיסור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ושעתא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תוארן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לקדושתן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וכשנתבטל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מתמונתן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וממילא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</w:comment>
  <w:comment w:author="Dani Schreiber" w:id="5" w:date="2019-11-30T19:52:53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tashmishei kedusha of tefillin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Fonts w:ascii="David Libre" w:cs="David Libre" w:eastAsia="David Libre" w:hAnsi="David Libr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