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jc w:val="both"/>
        <w:rPr/>
      </w:pPr>
      <w:bookmarkStart w:colFirst="0" w:colLast="0" w:name="_xkqy0k7dujoz" w:id="0"/>
      <w:bookmarkEnd w:id="0"/>
      <w:r w:rsidDel="00000000" w:rsidR="00000000" w:rsidRPr="00000000">
        <w:rPr>
          <w:rtl w:val="0"/>
        </w:rPr>
        <w:t xml:space="preserve">Is God Holier than Thou?</w:t>
      </w:r>
    </w:p>
    <w:p w:rsidR="00000000" w:rsidDel="00000000" w:rsidP="00000000" w:rsidRDefault="00000000" w:rsidRPr="00000000" w14:paraId="00000002">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ויקרא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יט</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ב</w:t>
      </w:r>
      <w:r w:rsidDel="00000000" w:rsidR="00000000" w:rsidRPr="00000000">
        <w:rPr>
          <w:rtl w:val="0"/>
        </w:rPr>
      </w:r>
    </w:p>
    <w:p w:rsidR="00000000" w:rsidDel="00000000" w:rsidP="00000000" w:rsidRDefault="00000000" w:rsidRPr="00000000" w14:paraId="00000003">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w:t>
      </w:r>
      <w:r w:rsidDel="00000000" w:rsidR="00000000" w:rsidRPr="00000000">
        <w:rPr>
          <w:rtl w:val="0"/>
        </w:rPr>
      </w:r>
    </w:p>
    <w:p w:rsidR="00000000" w:rsidDel="00000000" w:rsidP="00000000" w:rsidRDefault="00000000" w:rsidRPr="00000000" w14:paraId="00000004">
      <w:pPr>
        <w:bidi w:val="1"/>
        <w:spacing w:after="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05">
      <w:pPr>
        <w:pStyle w:val="Heading1"/>
        <w:spacing w:line="240" w:lineRule="auto"/>
        <w:jc w:val="center"/>
        <w:rPr/>
      </w:pPr>
      <w:bookmarkStart w:colFirst="0" w:colLast="0" w:name="_v8qo6ua8stl9" w:id="1"/>
      <w:bookmarkEnd w:id="1"/>
      <w:r w:rsidDel="00000000" w:rsidR="00000000" w:rsidRPr="00000000">
        <w:rPr>
          <w:rtl w:val="0"/>
        </w:rPr>
        <w:t xml:space="preserve">I.</w:t>
      </w:r>
    </w:p>
    <w:p w:rsidR="00000000" w:rsidDel="00000000" w:rsidP="00000000" w:rsidRDefault="00000000" w:rsidRPr="00000000" w14:paraId="00000006">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קדשים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תהיו</w:t>
      </w:r>
      <w:r w:rsidDel="00000000" w:rsidR="00000000" w:rsidRPr="00000000">
        <w:rPr>
          <w:rFonts w:ascii="David Libre" w:cs="David Libre" w:eastAsia="David Libre" w:hAnsi="David Libre"/>
          <w:b w:val="1"/>
          <w:sz w:val="24"/>
          <w:szCs w:val="24"/>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hyperlink r:id="rId6">
        <w:r w:rsidDel="00000000" w:rsidR="00000000" w:rsidRPr="00000000">
          <w:rPr>
            <w:rFonts w:ascii="David Libre" w:cs="David Libre" w:eastAsia="David Libre" w:hAnsi="David Libre"/>
            <w:b w:val="1"/>
            <w:sz w:val="24"/>
            <w:szCs w:val="24"/>
            <w:u w:val="single"/>
            <w:rtl w:val="1"/>
          </w:rPr>
          <w:t xml:space="preserve">ויקרא</w:t>
        </w:r>
      </w:hyperlink>
      <w:hyperlink r:id="rId7">
        <w:r w:rsidDel="00000000" w:rsidR="00000000" w:rsidRPr="00000000">
          <w:rPr>
            <w:rFonts w:ascii="David Libre" w:cs="David Libre" w:eastAsia="David Libre" w:hAnsi="David Libre"/>
            <w:b w:val="1"/>
            <w:sz w:val="24"/>
            <w:szCs w:val="24"/>
            <w:u w:val="single"/>
            <w:rtl w:val="1"/>
          </w:rPr>
          <w:t xml:space="preserve"> </w:t>
        </w:r>
      </w:hyperlink>
      <w:hyperlink r:id="rId8">
        <w:r w:rsidDel="00000000" w:rsidR="00000000" w:rsidRPr="00000000">
          <w:rPr>
            <w:rFonts w:ascii="David Libre" w:cs="David Libre" w:eastAsia="David Libre" w:hAnsi="David Libre"/>
            <w:b w:val="1"/>
            <w:sz w:val="24"/>
            <w:szCs w:val="24"/>
            <w:u w:val="single"/>
            <w:rtl w:val="1"/>
          </w:rPr>
          <w:t xml:space="preserve">כ</w:t>
        </w:r>
      </w:hyperlink>
      <w:hyperlink r:id="rId9">
        <w:r w:rsidDel="00000000" w:rsidR="00000000" w:rsidRPr="00000000">
          <w:rPr>
            <w:rFonts w:ascii="David Libre" w:cs="David Libre" w:eastAsia="David Libre" w:hAnsi="David Libre"/>
            <w:b w:val="1"/>
            <w:sz w:val="24"/>
            <w:szCs w:val="24"/>
            <w:u w:val="single"/>
            <w:rtl w:val="1"/>
          </w:rPr>
          <w:t xml:space="preserve">"</w:t>
        </w:r>
      </w:hyperlink>
      <w:hyperlink r:id="rId10">
        <w:r w:rsidDel="00000000" w:rsidR="00000000" w:rsidRPr="00000000">
          <w:rPr>
            <w:rFonts w:ascii="David Libre" w:cs="David Libre" w:eastAsia="David Libre" w:hAnsi="David Libre"/>
            <w:b w:val="1"/>
            <w:sz w:val="24"/>
            <w:szCs w:val="24"/>
            <w:u w:val="single"/>
            <w:rtl w:val="1"/>
          </w:rPr>
          <w:t xml:space="preserve">א</w:t>
        </w:r>
      </w:hyperlink>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7">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8">
      <w:pPr>
        <w:bidi w:val="1"/>
        <w:spacing w:after="0"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קדושים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תהיו</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הוו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העריות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העבירה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ערוה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והתקדשתם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והייתם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הפרישות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העריות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הפרישות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המוזכרת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בתלמוד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בעריות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ובמאכלים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האסורים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והתירה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ואכילת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התאוה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שטוף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בסובאי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בזוללי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כרצונו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הנבלות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הוזכר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שפרט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האיסורים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שאסר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לגמרי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המותרות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ימעט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במשגל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hyperlink r:id="rId11">
        <w:r w:rsidDel="00000000" w:rsidR="00000000" w:rsidRPr="00000000">
          <w:rPr>
            <w:rFonts w:ascii="David Libre" w:cs="David Libre" w:eastAsia="David Libre" w:hAnsi="David Libre"/>
            <w:b w:val="1"/>
            <w:sz w:val="24"/>
            <w:szCs w:val="24"/>
            <w:u w:val="single"/>
            <w:rtl w:val="1"/>
          </w:rPr>
          <w:t xml:space="preserve">ברכות</w:t>
        </w:r>
      </w:hyperlink>
      <w:hyperlink r:id="rId12">
        <w:r w:rsidDel="00000000" w:rsidR="00000000" w:rsidRPr="00000000">
          <w:rPr>
            <w:rFonts w:ascii="David Libre" w:cs="David Libre" w:eastAsia="David Libre" w:hAnsi="David Libre"/>
            <w:b w:val="1"/>
            <w:sz w:val="24"/>
            <w:szCs w:val="24"/>
            <w:u w:val="single"/>
            <w:rtl w:val="1"/>
          </w:rPr>
          <w:t xml:space="preserve"> </w:t>
        </w:r>
      </w:hyperlink>
      <w:hyperlink r:id="rId13">
        <w:r w:rsidDel="00000000" w:rsidR="00000000" w:rsidRPr="00000000">
          <w:rPr>
            <w:rFonts w:ascii="David Libre" w:cs="David Libre" w:eastAsia="David Libre" w:hAnsi="David Libre"/>
            <w:b w:val="1"/>
            <w:sz w:val="24"/>
            <w:szCs w:val="24"/>
            <w:u w:val="single"/>
            <w:rtl w:val="1"/>
          </w:rPr>
          <w:t xml:space="preserve">כב</w:t>
        </w:r>
      </w:hyperlink>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תלמידי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אצל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נשותיהן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כתרנגולין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ישמש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במיעוטו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hyperlink r:id="rId14">
        <w:r w:rsidDel="00000000" w:rsidR="00000000" w:rsidRPr="00000000">
          <w:rPr>
            <w:rFonts w:ascii="David Libre" w:cs="David Libre" w:eastAsia="David Libre" w:hAnsi="David Libre"/>
            <w:b w:val="1"/>
            <w:sz w:val="24"/>
            <w:szCs w:val="24"/>
            <w:u w:val="single"/>
            <w:rtl w:val="1"/>
          </w:rPr>
          <w:t xml:space="preserve">במדבר</w:t>
        </w:r>
      </w:hyperlink>
      <w:hyperlink r:id="rId15">
        <w:r w:rsidDel="00000000" w:rsidR="00000000" w:rsidRPr="00000000">
          <w:rPr>
            <w:rFonts w:ascii="David Libre" w:cs="David Libre" w:eastAsia="David Libre" w:hAnsi="David Libre"/>
            <w:b w:val="1"/>
            <w:sz w:val="24"/>
            <w:szCs w:val="24"/>
            <w:u w:val="single"/>
            <w:rtl w:val="1"/>
          </w:rPr>
          <w:t xml:space="preserve"> </w:t>
        </w:r>
      </w:hyperlink>
      <w:hyperlink r:id="rId16">
        <w:r w:rsidDel="00000000" w:rsidR="00000000" w:rsidRPr="00000000">
          <w:rPr>
            <w:rFonts w:ascii="David Libre" w:cs="David Libre" w:eastAsia="David Libre" w:hAnsi="David Libre"/>
            <w:b w:val="1"/>
            <w:sz w:val="24"/>
            <w:szCs w:val="24"/>
            <w:u w:val="single"/>
            <w:rtl w:val="1"/>
          </w:rPr>
          <w:t xml:space="preserve">ו</w:t>
        </w:r>
      </w:hyperlink>
      <w:hyperlink r:id="rId17">
        <w:r w:rsidDel="00000000" w:rsidR="00000000" w:rsidRPr="00000000">
          <w:rPr>
            <w:rFonts w:ascii="David Libre" w:cs="David Libre" w:eastAsia="David Libre" w:hAnsi="David Libre"/>
            <w:b w:val="1"/>
            <w:sz w:val="24"/>
            <w:szCs w:val="24"/>
            <w:u w:val="single"/>
            <w:rtl w:val="1"/>
          </w:rPr>
          <w:t xml:space="preserve"> </w:t>
        </w:r>
      </w:hyperlink>
      <w:hyperlink r:id="rId18">
        <w:r w:rsidDel="00000000" w:rsidR="00000000" w:rsidRPr="00000000">
          <w:rPr>
            <w:rFonts w:ascii="David Libre" w:cs="David Libre" w:eastAsia="David Libre" w:hAnsi="David Libre"/>
            <w:b w:val="1"/>
            <w:sz w:val="24"/>
            <w:szCs w:val="24"/>
            <w:u w:val="single"/>
            <w:rtl w:val="1"/>
          </w:rPr>
          <w:t xml:space="preserve">ה</w:t>
        </w:r>
      </w:hyperlink>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הנזיר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ויזכור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הנזכרות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hyperlink r:id="rId19">
        <w:r w:rsidDel="00000000" w:rsidR="00000000" w:rsidRPr="00000000">
          <w:rPr>
            <w:rFonts w:ascii="David Libre" w:cs="David Libre" w:eastAsia="David Libre" w:hAnsi="David Libre"/>
            <w:b w:val="1"/>
            <w:sz w:val="24"/>
            <w:szCs w:val="24"/>
            <w:u w:val="single"/>
            <w:rtl w:val="1"/>
          </w:rPr>
          <w:t xml:space="preserve">בראשית</w:t>
        </w:r>
      </w:hyperlink>
      <w:hyperlink r:id="rId20">
        <w:r w:rsidDel="00000000" w:rsidR="00000000" w:rsidRPr="00000000">
          <w:rPr>
            <w:rFonts w:ascii="David Libre" w:cs="David Libre" w:eastAsia="David Libre" w:hAnsi="David Libre"/>
            <w:b w:val="1"/>
            <w:sz w:val="24"/>
            <w:szCs w:val="24"/>
            <w:u w:val="single"/>
            <w:rtl w:val="1"/>
          </w:rPr>
          <w:t xml:space="preserve"> </w:t>
        </w:r>
      </w:hyperlink>
      <w:hyperlink r:id="rId21">
        <w:r w:rsidDel="00000000" w:rsidR="00000000" w:rsidRPr="00000000">
          <w:rPr>
            <w:rFonts w:ascii="David Libre" w:cs="David Libre" w:eastAsia="David Libre" w:hAnsi="David Libre"/>
            <w:b w:val="1"/>
            <w:sz w:val="24"/>
            <w:szCs w:val="24"/>
            <w:u w:val="single"/>
            <w:rtl w:val="1"/>
          </w:rPr>
          <w:t xml:space="preserve">ט</w:t>
        </w:r>
      </w:hyperlink>
      <w:hyperlink r:id="rId22">
        <w:r w:rsidDel="00000000" w:rsidR="00000000" w:rsidRPr="00000000">
          <w:rPr>
            <w:rFonts w:ascii="David Libre" w:cs="David Libre" w:eastAsia="David Libre" w:hAnsi="David Libre"/>
            <w:b w:val="1"/>
            <w:sz w:val="24"/>
            <w:szCs w:val="24"/>
            <w:u w:val="single"/>
            <w:rtl w:val="1"/>
          </w:rPr>
          <w:t xml:space="preserve"> </w:t>
        </w:r>
      </w:hyperlink>
      <w:hyperlink r:id="rId23">
        <w:r w:rsidDel="00000000" w:rsidR="00000000" w:rsidRPr="00000000">
          <w:rPr>
            <w:rFonts w:ascii="David Libre" w:cs="David Libre" w:eastAsia="David Libre" w:hAnsi="David Libre"/>
            <w:b w:val="1"/>
            <w:sz w:val="24"/>
            <w:szCs w:val="24"/>
            <w:u w:val="single"/>
            <w:rtl w:val="1"/>
          </w:rPr>
          <w:t xml:space="preserve">כא</w:t>
        </w:r>
      </w:hyperlink>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יפריש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הטומאה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הוזהרנו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שהזכירו</w:t>
      </w:r>
      <w:r w:rsidDel="00000000" w:rsidR="00000000" w:rsidRPr="00000000">
        <w:rPr>
          <w:rFonts w:ascii="David Libre" w:cs="David Libre" w:eastAsia="David Libre" w:hAnsi="David Libre"/>
          <w:sz w:val="24"/>
          <w:szCs w:val="24"/>
          <w:rtl w:val="1"/>
        </w:rPr>
        <w:t xml:space="preserve"> (</w:t>
      </w:r>
      <w:hyperlink r:id="rId24">
        <w:r w:rsidDel="00000000" w:rsidR="00000000" w:rsidRPr="00000000">
          <w:rPr>
            <w:rFonts w:ascii="David Libre" w:cs="David Libre" w:eastAsia="David Libre" w:hAnsi="David Libre"/>
            <w:b w:val="1"/>
            <w:sz w:val="24"/>
            <w:szCs w:val="24"/>
            <w:u w:val="single"/>
            <w:rtl w:val="1"/>
          </w:rPr>
          <w:t xml:space="preserve">חגיגה</w:t>
        </w:r>
      </w:hyperlink>
      <w:hyperlink r:id="rId25">
        <w:r w:rsidDel="00000000" w:rsidR="00000000" w:rsidRPr="00000000">
          <w:rPr>
            <w:rFonts w:ascii="David Libre" w:cs="David Libre" w:eastAsia="David Libre" w:hAnsi="David Libre"/>
            <w:b w:val="1"/>
            <w:sz w:val="24"/>
            <w:szCs w:val="24"/>
            <w:u w:val="single"/>
            <w:rtl w:val="1"/>
          </w:rPr>
          <w:t xml:space="preserve"> </w:t>
        </w:r>
      </w:hyperlink>
      <w:hyperlink r:id="rId26">
        <w:r w:rsidDel="00000000" w:rsidR="00000000" w:rsidRPr="00000000">
          <w:rPr>
            <w:rFonts w:ascii="David Libre" w:cs="David Libre" w:eastAsia="David Libre" w:hAnsi="David Libre"/>
            <w:b w:val="1"/>
            <w:sz w:val="24"/>
            <w:szCs w:val="24"/>
            <w:u w:val="single"/>
            <w:rtl w:val="1"/>
          </w:rPr>
          <w:t xml:space="preserve">יח</w:t>
        </w:r>
      </w:hyperlink>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מדרס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לפרושים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הנזיר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w:t>
      </w:r>
      <w:r w:rsidDel="00000000" w:rsidR="00000000" w:rsidRPr="00000000">
        <w:rPr>
          <w:rFonts w:ascii="David Libre" w:cs="David Libre" w:eastAsia="David Libre" w:hAnsi="David Libre"/>
          <w:sz w:val="24"/>
          <w:szCs w:val="24"/>
          <w:rtl w:val="1"/>
        </w:rPr>
        <w:t xml:space="preserve"> (</w:t>
      </w:r>
      <w:hyperlink r:id="rId27">
        <w:r w:rsidDel="00000000" w:rsidR="00000000" w:rsidRPr="00000000">
          <w:rPr>
            <w:rFonts w:ascii="David Libre" w:cs="David Libre" w:eastAsia="David Libre" w:hAnsi="David Libre"/>
            <w:b w:val="1"/>
            <w:sz w:val="24"/>
            <w:szCs w:val="24"/>
            <w:u w:val="single"/>
            <w:rtl w:val="1"/>
          </w:rPr>
          <w:t xml:space="preserve">במדבר</w:t>
        </w:r>
      </w:hyperlink>
      <w:hyperlink r:id="rId28">
        <w:r w:rsidDel="00000000" w:rsidR="00000000" w:rsidRPr="00000000">
          <w:rPr>
            <w:rFonts w:ascii="David Libre" w:cs="David Libre" w:eastAsia="David Libre" w:hAnsi="David Libre"/>
            <w:b w:val="1"/>
            <w:sz w:val="24"/>
            <w:szCs w:val="24"/>
            <w:u w:val="single"/>
            <w:rtl w:val="1"/>
          </w:rPr>
          <w:t xml:space="preserve"> </w:t>
        </w:r>
      </w:hyperlink>
      <w:hyperlink r:id="rId29">
        <w:r w:rsidDel="00000000" w:rsidR="00000000" w:rsidRPr="00000000">
          <w:rPr>
            <w:rFonts w:ascii="David Libre" w:cs="David Libre" w:eastAsia="David Libre" w:hAnsi="David Libre"/>
            <w:b w:val="1"/>
            <w:sz w:val="24"/>
            <w:szCs w:val="24"/>
            <w:u w:val="single"/>
            <w:rtl w:val="1"/>
          </w:rPr>
          <w:t xml:space="preserve">ו</w:t>
        </w:r>
      </w:hyperlink>
      <w:hyperlink r:id="rId30">
        <w:r w:rsidDel="00000000" w:rsidR="00000000" w:rsidRPr="00000000">
          <w:rPr>
            <w:rFonts w:ascii="David Libre" w:cs="David Libre" w:eastAsia="David Libre" w:hAnsi="David Libre"/>
            <w:b w:val="1"/>
            <w:sz w:val="24"/>
            <w:szCs w:val="24"/>
            <w:u w:val="single"/>
            <w:rtl w:val="1"/>
          </w:rPr>
          <w:t xml:space="preserve"> </w:t>
        </w:r>
      </w:hyperlink>
      <w:hyperlink r:id="rId31">
        <w:r w:rsidDel="00000000" w:rsidR="00000000" w:rsidRPr="00000000">
          <w:rPr>
            <w:rFonts w:ascii="David Libre" w:cs="David Libre" w:eastAsia="David Libre" w:hAnsi="David Libre"/>
            <w:b w:val="1"/>
            <w:sz w:val="24"/>
            <w:szCs w:val="24"/>
            <w:u w:val="single"/>
            <w:rtl w:val="1"/>
          </w:rPr>
          <w:t xml:space="preserve">ח</w:t>
        </w:r>
      </w:hyperlink>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מטומאת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ולשונו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מהתגאל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ברבוי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הגסה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הנמאס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שהזכיר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hyperlink r:id="rId32">
        <w:r w:rsidDel="00000000" w:rsidR="00000000" w:rsidRPr="00000000">
          <w:rPr>
            <w:rFonts w:ascii="David Libre" w:cs="David Libre" w:eastAsia="David Libre" w:hAnsi="David Libre"/>
            <w:b w:val="1"/>
            <w:sz w:val="24"/>
            <w:szCs w:val="24"/>
            <w:u w:val="single"/>
            <w:rtl w:val="1"/>
          </w:rPr>
          <w:t xml:space="preserve">ישעיהו</w:t>
        </w:r>
      </w:hyperlink>
      <w:hyperlink r:id="rId33">
        <w:r w:rsidDel="00000000" w:rsidR="00000000" w:rsidRPr="00000000">
          <w:rPr>
            <w:rFonts w:ascii="David Libre" w:cs="David Libre" w:eastAsia="David Libre" w:hAnsi="David Libre"/>
            <w:b w:val="1"/>
            <w:sz w:val="24"/>
            <w:szCs w:val="24"/>
            <w:u w:val="single"/>
            <w:rtl w:val="1"/>
          </w:rPr>
          <w:t xml:space="preserve"> </w:t>
        </w:r>
      </w:hyperlink>
      <w:hyperlink r:id="rId34">
        <w:r w:rsidDel="00000000" w:rsidR="00000000" w:rsidRPr="00000000">
          <w:rPr>
            <w:rFonts w:ascii="David Libre" w:cs="David Libre" w:eastAsia="David Libre" w:hAnsi="David Libre"/>
            <w:b w:val="1"/>
            <w:sz w:val="24"/>
            <w:szCs w:val="24"/>
            <w:u w:val="single"/>
            <w:rtl w:val="1"/>
          </w:rPr>
          <w:t xml:space="preserve">ט</w:t>
        </w:r>
      </w:hyperlink>
      <w:hyperlink r:id="rId35">
        <w:r w:rsidDel="00000000" w:rsidR="00000000" w:rsidRPr="00000000">
          <w:rPr>
            <w:rFonts w:ascii="David Libre" w:cs="David Libre" w:eastAsia="David Libre" w:hAnsi="David Libre"/>
            <w:b w:val="1"/>
            <w:sz w:val="24"/>
            <w:szCs w:val="24"/>
            <w:u w:val="single"/>
            <w:rtl w:val="1"/>
          </w:rPr>
          <w:t xml:space="preserve"> </w:t>
        </w:r>
      </w:hyperlink>
      <w:hyperlink r:id="rId36">
        <w:r w:rsidDel="00000000" w:rsidR="00000000" w:rsidRPr="00000000">
          <w:rPr>
            <w:rFonts w:ascii="David Libre" w:cs="David Libre" w:eastAsia="David Libre" w:hAnsi="David Libre"/>
            <w:b w:val="1"/>
            <w:sz w:val="24"/>
            <w:szCs w:val="24"/>
            <w:u w:val="single"/>
            <w:rtl w:val="1"/>
          </w:rPr>
          <w:t xml:space="preserve">טז</w:t>
        </w:r>
      </w:hyperlink>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שיגיע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לפרישות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מימיו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ובכיוצא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הכללית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שפרט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העבירות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לגמרי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שיכנס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הצוואה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הנקיות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hyperlink r:id="rId37">
        <w:r w:rsidDel="00000000" w:rsidR="00000000" w:rsidRPr="00000000">
          <w:rPr>
            <w:rFonts w:ascii="David Libre" w:cs="David Libre" w:eastAsia="David Libre" w:hAnsi="David Libre"/>
            <w:b w:val="1"/>
            <w:sz w:val="24"/>
            <w:szCs w:val="24"/>
            <w:u w:val="single"/>
            <w:rtl w:val="1"/>
          </w:rPr>
          <w:t xml:space="preserve">ברכות</w:t>
        </w:r>
      </w:hyperlink>
      <w:hyperlink r:id="rId38">
        <w:r w:rsidDel="00000000" w:rsidR="00000000" w:rsidRPr="00000000">
          <w:rPr>
            <w:rFonts w:ascii="David Libre" w:cs="David Libre" w:eastAsia="David Libre" w:hAnsi="David Libre"/>
            <w:b w:val="1"/>
            <w:sz w:val="24"/>
            <w:szCs w:val="24"/>
            <w:u w:val="single"/>
            <w:rtl w:val="1"/>
          </w:rPr>
          <w:t xml:space="preserve"> </w:t>
        </w:r>
      </w:hyperlink>
      <w:hyperlink r:id="rId39">
        <w:r w:rsidDel="00000000" w:rsidR="00000000" w:rsidRPr="00000000">
          <w:rPr>
            <w:rFonts w:ascii="David Libre" w:cs="David Libre" w:eastAsia="David Libre" w:hAnsi="David Libre"/>
            <w:b w:val="1"/>
            <w:sz w:val="24"/>
            <w:szCs w:val="24"/>
            <w:u w:val="single"/>
            <w:rtl w:val="1"/>
          </w:rPr>
          <w:t xml:space="preserve">נג</w:t>
        </w:r>
      </w:hyperlink>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והתקדשתם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והייתם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יזהיר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וטהורים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ופרושים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מהמון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מלכלכים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במותרות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ובכיעורים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לפרוט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ולכלול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אזהרת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פרטי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תגנוב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תגזול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האזהרות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והטוב</w:t>
      </w:r>
      <w:r w:rsidDel="00000000" w:rsidR="00000000" w:rsidRPr="00000000">
        <w:rPr>
          <w:rFonts w:ascii="David Libre" w:cs="David Libre" w:eastAsia="David Libre" w:hAnsi="David Libre"/>
          <w:sz w:val="24"/>
          <w:szCs w:val="24"/>
          <w:rtl w:val="1"/>
        </w:rPr>
        <w:t xml:space="preserve"> (</w:t>
      </w:r>
      <w:hyperlink r:id="rId40">
        <w:r w:rsidDel="00000000" w:rsidR="00000000" w:rsidRPr="00000000">
          <w:rPr>
            <w:rFonts w:ascii="David Libre" w:cs="David Libre" w:eastAsia="David Libre" w:hAnsi="David Libre"/>
            <w:b w:val="1"/>
            <w:sz w:val="24"/>
            <w:szCs w:val="24"/>
            <w:u w:val="single"/>
            <w:rtl w:val="1"/>
          </w:rPr>
          <w:t xml:space="preserve">דברים</w:t>
        </w:r>
      </w:hyperlink>
      <w:hyperlink r:id="rId41">
        <w:r w:rsidDel="00000000" w:rsidR="00000000" w:rsidRPr="00000000">
          <w:rPr>
            <w:rFonts w:ascii="David Libre" w:cs="David Libre" w:eastAsia="David Libre" w:hAnsi="David Libre"/>
            <w:b w:val="1"/>
            <w:sz w:val="24"/>
            <w:szCs w:val="24"/>
            <w:u w:val="single"/>
            <w:rtl w:val="1"/>
          </w:rPr>
          <w:t xml:space="preserve"> </w:t>
        </w:r>
      </w:hyperlink>
      <w:hyperlink r:id="rId42">
        <w:r w:rsidDel="00000000" w:rsidR="00000000" w:rsidRPr="00000000">
          <w:rPr>
            <w:rFonts w:ascii="David Libre" w:cs="David Libre" w:eastAsia="David Libre" w:hAnsi="David Libre"/>
            <w:b w:val="1"/>
            <w:sz w:val="24"/>
            <w:szCs w:val="24"/>
            <w:u w:val="single"/>
            <w:rtl w:val="1"/>
          </w:rPr>
          <w:t xml:space="preserve">ו</w:t>
        </w:r>
      </w:hyperlink>
      <w:hyperlink r:id="rId43">
        <w:r w:rsidDel="00000000" w:rsidR="00000000" w:rsidRPr="00000000">
          <w:rPr>
            <w:rFonts w:ascii="David Libre" w:cs="David Libre" w:eastAsia="David Libre" w:hAnsi="David Libre"/>
            <w:b w:val="1"/>
            <w:sz w:val="24"/>
            <w:szCs w:val="24"/>
            <w:u w:val="single"/>
            <w:rtl w:val="1"/>
          </w:rPr>
          <w:t xml:space="preserve"> </w:t>
        </w:r>
      </w:hyperlink>
      <w:hyperlink r:id="rId44">
        <w:r w:rsidDel="00000000" w:rsidR="00000000" w:rsidRPr="00000000">
          <w:rPr>
            <w:rFonts w:ascii="David Libre" w:cs="David Libre" w:eastAsia="David Libre" w:hAnsi="David Libre"/>
            <w:b w:val="1"/>
            <w:sz w:val="24"/>
            <w:szCs w:val="24"/>
            <w:u w:val="single"/>
            <w:rtl w:val="1"/>
          </w:rPr>
          <w:t xml:space="preserve">יח</w:t>
        </w:r>
      </w:hyperlink>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שיכניס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וההשויה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לרצון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בהגיעי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למקומו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ברצון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p>
    <w:p w:rsidR="00000000" w:rsidDel="00000000" w:rsidP="00000000" w:rsidRDefault="00000000" w:rsidRPr="00000000" w14:paraId="00000009">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A">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יא</w:t>
      </w:r>
    </w:p>
    <w:p w:rsidR="00000000" w:rsidDel="00000000" w:rsidP="00000000" w:rsidRDefault="00000000" w:rsidRPr="00000000" w14:paraId="0000000B">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מאשר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חטא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הנפש</w:t>
      </w:r>
      <w:r w:rsidDel="00000000" w:rsidR="00000000" w:rsidRPr="00000000">
        <w:rPr>
          <w:rFonts w:ascii="David Libre" w:cs="David Libre" w:eastAsia="David Libre" w:hAnsi="David Libre"/>
          <w:b w:val="1"/>
          <w:sz w:val="24"/>
          <w:szCs w:val="24"/>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ספרי</w:t>
      </w:r>
      <w:r w:rsidDel="00000000" w:rsidR="00000000" w:rsidRPr="00000000">
        <w:rPr>
          <w:rFonts w:ascii="David Libre" w:cs="David Libre" w:eastAsia="David Libre" w:hAnsi="David Libre"/>
          <w:sz w:val="24"/>
          <w:szCs w:val="24"/>
          <w:rtl w:val="1"/>
        </w:rPr>
        <w:t xml:space="preserve">; </w:t>
      </w:r>
      <w:hyperlink r:id="rId45">
        <w:r w:rsidDel="00000000" w:rsidR="00000000" w:rsidRPr="00000000">
          <w:rPr>
            <w:rFonts w:ascii="David Libre" w:cs="David Libre" w:eastAsia="David Libre" w:hAnsi="David Libre"/>
            <w:b w:val="1"/>
            <w:sz w:val="24"/>
            <w:szCs w:val="24"/>
            <w:u w:val="single"/>
            <w:rtl w:val="1"/>
          </w:rPr>
          <w:t xml:space="preserve">נזיר</w:t>
        </w:r>
      </w:hyperlink>
      <w:hyperlink r:id="rId46">
        <w:r w:rsidDel="00000000" w:rsidR="00000000" w:rsidRPr="00000000">
          <w:rPr>
            <w:rFonts w:ascii="David Libre" w:cs="David Libre" w:eastAsia="David Libre" w:hAnsi="David Libre"/>
            <w:b w:val="1"/>
            <w:sz w:val="24"/>
            <w:szCs w:val="24"/>
            <w:u w:val="single"/>
            <w:rtl w:val="1"/>
          </w:rPr>
          <w:t xml:space="preserve"> </w:t>
        </w:r>
      </w:hyperlink>
      <w:hyperlink r:id="rId47">
        <w:r w:rsidDel="00000000" w:rsidR="00000000" w:rsidRPr="00000000">
          <w:rPr>
            <w:rFonts w:ascii="David Libre" w:cs="David Libre" w:eastAsia="David Libre" w:hAnsi="David Libre"/>
            <w:b w:val="1"/>
            <w:sz w:val="24"/>
            <w:szCs w:val="24"/>
            <w:u w:val="single"/>
            <w:rtl w:val="1"/>
          </w:rPr>
          <w:t xml:space="preserve">י</w:t>
        </w:r>
      </w:hyperlink>
      <w:hyperlink r:id="rId48">
        <w:r w:rsidDel="00000000" w:rsidR="00000000" w:rsidRPr="00000000">
          <w:rPr>
            <w:rFonts w:ascii="David Libre" w:cs="David Libre" w:eastAsia="David Libre" w:hAnsi="David Libre"/>
            <w:b w:val="1"/>
            <w:sz w:val="24"/>
            <w:szCs w:val="24"/>
            <w:u w:val="single"/>
            <w:rtl w:val="1"/>
          </w:rPr>
          <w:t xml:space="preserve">"</w:t>
        </w:r>
      </w:hyperlink>
      <w:hyperlink r:id="rId49">
        <w:r w:rsidDel="00000000" w:rsidR="00000000" w:rsidRPr="00000000">
          <w:rPr>
            <w:rFonts w:ascii="David Libre" w:cs="David Libre" w:eastAsia="David Libre" w:hAnsi="David Libre"/>
            <w:b w:val="1"/>
            <w:sz w:val="24"/>
            <w:szCs w:val="24"/>
            <w:u w:val="single"/>
            <w:rtl w:val="1"/>
          </w:rPr>
          <w:t xml:space="preserve">ט</w:t>
        </w:r>
      </w:hyperlink>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0C">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D">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במדבר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r w:rsidDel="00000000" w:rsidR="00000000" w:rsidRPr="00000000">
        <w:rPr>
          <w:rFonts w:ascii="David Libre" w:cs="David Libre" w:eastAsia="David Libre" w:hAnsi="David Libre"/>
          <w:b w:val="1"/>
          <w:sz w:val="24"/>
          <w:szCs w:val="24"/>
          <w:rtl w:val="1"/>
        </w:rPr>
        <w:t xml:space="preserve"> </w:t>
      </w:r>
      <w:r w:rsidDel="00000000" w:rsidR="00000000" w:rsidRPr="00000000">
        <w:rPr>
          <w:rtl w:val="0"/>
        </w:rPr>
      </w:r>
    </w:p>
    <w:p w:rsidR="00000000" w:rsidDel="00000000" w:rsidP="00000000" w:rsidRDefault="00000000" w:rsidRPr="00000000" w14:paraId="0000000E">
      <w:pPr>
        <w:bidi w:val="1"/>
        <w:spacing w:after="0"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החטאת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שיקריב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הנזיר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נזרו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נתפרש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הפשט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במלאת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הנזירות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נזור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מקדושתו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ועבודת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שיזיר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ויעמוד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נזיר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לאלהיו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מבניכם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לנביאים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ומבחוריכם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לנזירים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וכדכתיב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נזרו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בשובו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בתאוות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F">
      <w:pPr>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rFonts w:ascii="David Libre" w:cs="David Libre" w:eastAsia="David Libre" w:hAnsi="David Libre"/>
          <w:sz w:val="24"/>
          <w:szCs w:val="24"/>
        </w:rPr>
      </w:pPr>
      <w:hyperlink r:id="rId50">
        <w:r w:rsidDel="00000000" w:rsidR="00000000" w:rsidRPr="00000000">
          <w:rPr>
            <w:rFonts w:ascii="David Libre" w:cs="David Libre" w:eastAsia="David Libre" w:hAnsi="David Libre"/>
            <w:sz w:val="24"/>
            <w:szCs w:val="24"/>
            <w:u w:val="single"/>
            <w:rtl w:val="0"/>
          </w:rPr>
          <w:t xml:space="preserve">https://www.torahmusings.com/2013/03/holy-money/</w:t>
        </w:r>
      </w:hyperlink>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11" w:sz="0" w:val="none"/>
          <w:right w:color="auto" w:space="0" w:sz="0" w:val="none"/>
        </w:pBdr>
        <w:shd w:fill="ffffff" w:val="clea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R. Romm continued that this same disagreeement can be found in the famous dispute over our obligation to become holy. The Torah (Lev. 19:2) commands us to be holy (“</w:t>
      </w:r>
      <w:r w:rsidDel="00000000" w:rsidR="00000000" w:rsidRPr="00000000">
        <w:rPr>
          <w:rFonts w:ascii="David Libre" w:cs="David Libre" w:eastAsia="David Libre" w:hAnsi="David Libre"/>
          <w:i w:val="1"/>
          <w:sz w:val="24"/>
          <w:szCs w:val="24"/>
          <w:rtl w:val="0"/>
        </w:rPr>
        <w:t xml:space="preserve">kedoshim tihyu</w:t>
      </w:r>
      <w:r w:rsidDel="00000000" w:rsidR="00000000" w:rsidRPr="00000000">
        <w:rPr>
          <w:rFonts w:ascii="David Libre" w:cs="David Libre" w:eastAsia="David Libre" w:hAnsi="David Libre"/>
          <w:sz w:val="24"/>
          <w:szCs w:val="24"/>
          <w:rtl w:val="0"/>
        </w:rPr>
        <w:t xml:space="preserve">”) but remains unclear regarding exactly what that obligation entails. Rashi (ad loc.) explains the command to mean, “Separate yourselves from forbidden relationships and from transgression” while Ramban (ad loc.) explains the mandate to be an obligation to distance ourselves even from that which is permissible but excessive. According to Rashi we fulfill this obligation by adhering to the strict prohibitions of the Torah while according to the Ramban we must go beyond the laws and create our own stringencies.</w:t>
      </w:r>
    </w:p>
    <w:p w:rsidR="00000000" w:rsidDel="00000000" w:rsidP="00000000" w:rsidRDefault="00000000" w:rsidRPr="00000000" w14:paraId="00000012">
      <w:pPr>
        <w:pBdr>
          <w:top w:color="auto" w:space="0" w:sz="0" w:val="none"/>
          <w:left w:color="auto" w:space="0" w:sz="0" w:val="none"/>
          <w:bottom w:color="auto" w:space="11" w:sz="0" w:val="none"/>
          <w:right w:color="auto" w:space="0" w:sz="0" w:val="none"/>
        </w:pBdr>
        <w:shd w:fill="ffffff" w:val="clea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In other words, Rashi understands that we are inherently holy and we can fulfill the mandate of </w:t>
      </w:r>
      <w:r w:rsidDel="00000000" w:rsidR="00000000" w:rsidRPr="00000000">
        <w:rPr>
          <w:rFonts w:ascii="David Libre" w:cs="David Libre" w:eastAsia="David Libre" w:hAnsi="David Libre"/>
          <w:i w:val="1"/>
          <w:sz w:val="24"/>
          <w:szCs w:val="24"/>
          <w:rtl w:val="0"/>
        </w:rPr>
        <w:t xml:space="preserve">kedoshim tihyu</w:t>
      </w:r>
      <w:r w:rsidDel="00000000" w:rsidR="00000000" w:rsidRPr="00000000">
        <w:rPr>
          <w:rFonts w:ascii="David Libre" w:cs="David Libre" w:eastAsia="David Libre" w:hAnsi="David Libre"/>
          <w:sz w:val="24"/>
          <w:szCs w:val="24"/>
          <w:rtl w:val="0"/>
        </w:rPr>
        <w:t xml:space="preserve"> by refraining from defiling our natural sanctity through sin. As long as we do not violate a prohibition–no small task–we are, according to Rashi, holy. This, R. Romm explained, is similar to Rambam’s position we saw above that Hebrew is inherently holy because it has not been defiled by impure words. Indeed, I add, we see in Rambam’s </w:t>
      </w:r>
      <w:r w:rsidDel="00000000" w:rsidR="00000000" w:rsidRPr="00000000">
        <w:rPr>
          <w:rFonts w:ascii="David Libre" w:cs="David Libre" w:eastAsia="David Libre" w:hAnsi="David Libre"/>
          <w:i w:val="1"/>
          <w:sz w:val="24"/>
          <w:szCs w:val="24"/>
          <w:rtl w:val="0"/>
        </w:rPr>
        <w:t xml:space="preserve">Mishneh Torah</w:t>
      </w:r>
      <w:r w:rsidDel="00000000" w:rsidR="00000000" w:rsidRPr="00000000">
        <w:rPr>
          <w:rFonts w:ascii="David Libre" w:cs="David Libre" w:eastAsia="David Libre" w:hAnsi="David Libre"/>
          <w:sz w:val="24"/>
          <w:szCs w:val="24"/>
          <w:rtl w:val="0"/>
        </w:rPr>
        <w:t xml:space="preserve"> that </w:t>
      </w:r>
      <w:r w:rsidDel="00000000" w:rsidR="00000000" w:rsidRPr="00000000">
        <w:rPr>
          <w:rFonts w:ascii="David Libre" w:cs="David Libre" w:eastAsia="David Libre" w:hAnsi="David Libre"/>
          <w:i w:val="1"/>
          <w:sz w:val="24"/>
          <w:szCs w:val="24"/>
          <w:rtl w:val="0"/>
        </w:rPr>
        <w:t xml:space="preserve">Sefer Kedushah</w:t>
      </w:r>
      <w:r w:rsidDel="00000000" w:rsidR="00000000" w:rsidRPr="00000000">
        <w:rPr>
          <w:rFonts w:ascii="David Libre" w:cs="David Libre" w:eastAsia="David Libre" w:hAnsi="David Libre"/>
          <w:sz w:val="24"/>
          <w:szCs w:val="24"/>
          <w:rtl w:val="0"/>
        </w:rPr>
        <w:t xml:space="preserve"> (the book of holiness) contains the laws regarding prohibited relations and foods while </w:t>
      </w:r>
      <w:r w:rsidDel="00000000" w:rsidR="00000000" w:rsidRPr="00000000">
        <w:rPr>
          <w:rFonts w:ascii="David Libre" w:cs="David Libre" w:eastAsia="David Libre" w:hAnsi="David Libre"/>
          <w:i w:val="1"/>
          <w:sz w:val="24"/>
          <w:szCs w:val="24"/>
          <w:rtl w:val="0"/>
        </w:rPr>
        <w:t xml:space="preserve">Sefer Mada</w:t>
      </w:r>
      <w:r w:rsidDel="00000000" w:rsidR="00000000" w:rsidRPr="00000000">
        <w:rPr>
          <w:rFonts w:ascii="David Libre" w:cs="David Libre" w:eastAsia="David Libre" w:hAnsi="David Libre"/>
          <w:sz w:val="24"/>
          <w:szCs w:val="24"/>
          <w:rtl w:val="0"/>
        </w:rPr>
        <w:t xml:space="preserve"> (the book of knowledge) contains the concepts of going beyond the requirements of the law. </w:t>
      </w:r>
      <w:r w:rsidDel="00000000" w:rsidR="00000000" w:rsidRPr="00000000">
        <w:rPr>
          <w:rFonts w:ascii="David Libre" w:cs="David Libre" w:eastAsia="David Libre" w:hAnsi="David Libre"/>
          <w:i w:val="1"/>
          <w:sz w:val="24"/>
          <w:szCs w:val="24"/>
          <w:rtl w:val="0"/>
        </w:rPr>
        <w:t xml:space="preserve">Kedushah</w:t>
      </w:r>
      <w:r w:rsidDel="00000000" w:rsidR="00000000" w:rsidRPr="00000000">
        <w:rPr>
          <w:rFonts w:ascii="David Libre" w:cs="David Libre" w:eastAsia="David Libre" w:hAnsi="David Libre"/>
          <w:sz w:val="24"/>
          <w:szCs w:val="24"/>
          <w:rtl w:val="0"/>
        </w:rPr>
        <w:t xml:space="preserve"> is attained by conforming to the prohibitions of the Torah and not by striving above that to abstinence.</w:t>
      </w:r>
    </w:p>
    <w:p w:rsidR="00000000" w:rsidDel="00000000" w:rsidP="00000000" w:rsidRDefault="00000000" w:rsidRPr="00000000" w14:paraId="00000013">
      <w:pPr>
        <w:pBdr>
          <w:top w:color="auto" w:space="0" w:sz="0" w:val="none"/>
          <w:left w:color="auto" w:space="0" w:sz="0" w:val="none"/>
          <w:bottom w:color="auto" w:space="11" w:sz="0" w:val="none"/>
          <w:right w:color="auto" w:space="0" w:sz="0" w:val="none"/>
        </w:pBdr>
        <w:shd w:fill="ffffff" w:val="clea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Ramban, however, is consistent with his earlier position and contends that holiness must be attained through additional behavior. Merely conforming to the Torah’s prohibitions does not raise someone to the status of holiness. Rather, he must go beyond that natural state and “sanctify himself in what is permissible to him” (</w:t>
      </w:r>
      <w:r w:rsidDel="00000000" w:rsidR="00000000" w:rsidRPr="00000000">
        <w:rPr>
          <w:rFonts w:ascii="David Libre" w:cs="David Libre" w:eastAsia="David Libre" w:hAnsi="David Libre"/>
          <w:i w:val="1"/>
          <w:sz w:val="24"/>
          <w:szCs w:val="24"/>
          <w:rtl w:val="0"/>
        </w:rPr>
        <w:t xml:space="preserve">Yevamos</w:t>
      </w:r>
      <w:r w:rsidDel="00000000" w:rsidR="00000000" w:rsidRPr="00000000">
        <w:rPr>
          <w:rFonts w:ascii="David Libre" w:cs="David Libre" w:eastAsia="David Libre" w:hAnsi="David Libre"/>
          <w:sz w:val="24"/>
          <w:szCs w:val="24"/>
          <w:rtl w:val="0"/>
        </w:rPr>
        <w:t xml:space="preserve"> 20a).</w:t>
      </w:r>
    </w:p>
    <w:p w:rsidR="00000000" w:rsidDel="00000000" w:rsidP="00000000" w:rsidRDefault="00000000" w:rsidRPr="00000000" w14:paraId="00000014">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Orot ha-Teshuva 15:10</w:t>
      </w:r>
    </w:p>
    <w:p w:rsidR="00000000" w:rsidDel="00000000" w:rsidP="00000000" w:rsidRDefault="00000000" w:rsidRPr="00000000" w14:paraId="00000015">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When one forgets the essence of one’s own soul…everything becomes confused and uncertain. The primary role of penitence… is for the person to return to himself, to the root of his soul. Then he will at once return to God, to the Soul of all souls…This is true whether we consider the individual, a whole people, or the whole of humanity, or whetehr we consider the menting of all existence, which always becomes damaged when it forgets itself.</w:t>
      </w:r>
    </w:p>
    <w:p w:rsidR="00000000" w:rsidDel="00000000" w:rsidP="00000000" w:rsidRDefault="00000000" w:rsidRPr="00000000" w14:paraId="00000016">
      <w:pPr>
        <w:spacing w:after="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Orot ha-Kodesh 3:97</w:t>
      </w:r>
    </w:p>
    <w:p w:rsidR="00000000" w:rsidDel="00000000" w:rsidP="00000000" w:rsidRDefault="00000000" w:rsidRPr="00000000" w14:paraId="00000018">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Adam’s sin was that he was alienated from his selfhood, for he followed the opinion of the serpent and lost himself…and he could not give a clear answer to the question of “Where are you”, for he did not know his own soul…The breath of our nostrils, God’s anointed” (Eikhah 4:20)…is not external to us; he is the “breath of our nostrils.” WE shall seek out God our Lord and David our king…we shall seek out our I; we shall seek and find ourselves.</w:t>
      </w:r>
    </w:p>
    <w:p w:rsidR="00000000" w:rsidDel="00000000" w:rsidP="00000000" w:rsidRDefault="00000000" w:rsidRPr="00000000" w14:paraId="00000019">
      <w:pPr>
        <w:spacing w:after="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Orot ha-Teshuva 14:3</w:t>
      </w:r>
    </w:p>
    <w:p w:rsidR="00000000" w:rsidDel="00000000" w:rsidP="00000000" w:rsidRDefault="00000000" w:rsidRPr="00000000" w14:paraId="0000001B">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When one wishes to embark on penitence, one must realize that there is nothing to thwart this objective. Even the twenty four offences that impede repentance -- immediately when one desires and comes to repent for them, they are no longer impediments.</w:t>
      </w:r>
    </w:p>
    <w:p w:rsidR="00000000" w:rsidDel="00000000" w:rsidP="00000000" w:rsidRDefault="00000000" w:rsidRPr="00000000" w14:paraId="0000001C">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D">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Halakhic Man, p. 113</w:t>
      </w:r>
    </w:p>
    <w:p w:rsidR="00000000" w:rsidDel="00000000" w:rsidP="00000000" w:rsidRDefault="00000000" w:rsidRPr="00000000" w14:paraId="0000001E">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 desire to be another person, to be different than I am now, is the central motif of repentance. Man cancels the law of identity and continuity which prevails in the “I” awareness by engaging in the wondrous, creative act of repentance. A person is creative; he was endowed with the power to create at his very inception. When he finds himself in a situation of sin, he takes advantage of his creative capacity, returns to God, and becomes a creator and self-fashioner. </w:t>
      </w:r>
      <w:r w:rsidDel="00000000" w:rsidR="00000000" w:rsidRPr="00000000">
        <w:rPr>
          <w:rFonts w:ascii="David Libre" w:cs="David Libre" w:eastAsia="David Libre" w:hAnsi="David Libre"/>
          <w:sz w:val="24"/>
          <w:szCs w:val="24"/>
          <w:u w:val="single"/>
          <w:rtl w:val="0"/>
        </w:rPr>
        <w:t xml:space="preserve">Man through repentance, creates himself, his own “I”</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1F">
      <w:pPr>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0">
      <w:pPr>
        <w:pStyle w:val="Heading1"/>
        <w:spacing w:line="240" w:lineRule="auto"/>
        <w:jc w:val="center"/>
        <w:rPr/>
      </w:pPr>
      <w:bookmarkStart w:colFirst="0" w:colLast="0" w:name="_ikbwsoocsztj" w:id="2"/>
      <w:bookmarkEnd w:id="2"/>
      <w:r w:rsidDel="00000000" w:rsidR="00000000" w:rsidRPr="00000000">
        <w:rPr>
          <w:rtl w:val="0"/>
        </w:rPr>
        <w:t xml:space="preserve">II.</w:t>
      </w:r>
    </w:p>
    <w:p w:rsidR="00000000" w:rsidDel="00000000" w:rsidP="00000000" w:rsidRDefault="00000000" w:rsidRPr="00000000" w14:paraId="00000021">
      <w:pPr>
        <w:bidi w:val="1"/>
        <w:spacing w:after="0" w:line="240" w:lineRule="auto"/>
        <w:jc w:val="both"/>
        <w:rPr>
          <w:rFonts w:ascii="David Libre" w:cs="David Libre" w:eastAsia="David Libre" w:hAnsi="David Libre"/>
          <w:b w:val="1"/>
          <w:sz w:val="24"/>
          <w:szCs w:val="24"/>
          <w:highlight w:val="white"/>
        </w:rPr>
      </w:pPr>
      <w:r w:rsidDel="00000000" w:rsidR="00000000" w:rsidRPr="00000000">
        <w:rPr>
          <w:rFonts w:ascii="David Libre" w:cs="David Libre" w:eastAsia="David Libre" w:hAnsi="David Libre"/>
          <w:b w:val="1"/>
          <w:sz w:val="24"/>
          <w:szCs w:val="24"/>
          <w:highlight w:val="white"/>
          <w:rtl w:val="1"/>
        </w:rPr>
        <w:t xml:space="preserve">ויקרא</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רבה</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כד</w:t>
      </w:r>
      <w:r w:rsidDel="00000000" w:rsidR="00000000" w:rsidRPr="00000000">
        <w:rPr>
          <w:rFonts w:ascii="David Libre" w:cs="David Libre" w:eastAsia="David Libre" w:hAnsi="David Libre"/>
          <w:b w:val="1"/>
          <w:sz w:val="24"/>
          <w:szCs w:val="24"/>
          <w:highlight w:val="white"/>
          <w:rtl w:val="1"/>
        </w:rPr>
        <w:t xml:space="preserve">:</w:t>
      </w:r>
      <w:r w:rsidDel="00000000" w:rsidR="00000000" w:rsidRPr="00000000">
        <w:rPr>
          <w:rFonts w:ascii="David Libre" w:cs="David Libre" w:eastAsia="David Libre" w:hAnsi="David Libre"/>
          <w:b w:val="1"/>
          <w:sz w:val="24"/>
          <w:szCs w:val="24"/>
          <w:highlight w:val="white"/>
          <w:rtl w:val="1"/>
        </w:rPr>
        <w:t xml:space="preserve">ט</w:t>
      </w:r>
    </w:p>
    <w:p w:rsidR="00000000" w:rsidDel="00000000" w:rsidP="00000000" w:rsidRDefault="00000000" w:rsidRPr="00000000" w14:paraId="00000022">
      <w:pPr>
        <w:bidi w:val="1"/>
        <w:spacing w:after="0" w:line="240" w:lineRule="auto"/>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b w:val="1"/>
          <w:sz w:val="24"/>
          <w:szCs w:val="24"/>
          <w:highlight w:val="white"/>
          <w:rtl w:val="1"/>
        </w:rPr>
        <w:t xml:space="preserve">קדושים</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תהיו</w:t>
      </w:r>
      <w:r w:rsidDel="00000000" w:rsidR="00000000" w:rsidRPr="00000000">
        <w:rPr>
          <w:rFonts w:ascii="David Libre" w:cs="David Libre" w:eastAsia="David Libre" w:hAnsi="David Libre"/>
          <w:b w:val="1"/>
          <w:sz w:val="24"/>
          <w:szCs w:val="24"/>
          <w:highlight w:val="white"/>
          <w:rtl w:val="1"/>
        </w:rPr>
        <w:t xml:space="preserve">.</w:t>
      </w:r>
      <w:r w:rsidDel="00000000" w:rsidR="00000000" w:rsidRPr="00000000">
        <w:rPr>
          <w:rFonts w:ascii="David Libre" w:cs="David Libre" w:eastAsia="David Libre" w:hAnsi="David Libre"/>
          <w:sz w:val="24"/>
          <w:szCs w:val="24"/>
          <w:highlight w:val="white"/>
          <w:rtl w:val="0"/>
        </w:rPr>
        <w:t xml:space="preserve"> </w:t>
      </w:r>
      <w:r w:rsidDel="00000000" w:rsidR="00000000" w:rsidRPr="00000000">
        <w:rPr>
          <w:rFonts w:ascii="David Libre" w:cs="David Libre" w:eastAsia="David Libre" w:hAnsi="David Libre"/>
          <w:sz w:val="24"/>
          <w:szCs w:val="24"/>
          <w:highlight w:val="white"/>
          <w:rtl w:val="1"/>
        </w:rPr>
        <w:t xml:space="preserve">יכול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כמוני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תלמוד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לומר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כי</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קדוש</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אני</w:t>
      </w:r>
      <w:r w:rsidDel="00000000" w:rsidR="00000000" w:rsidRPr="00000000">
        <w:rPr>
          <w:rtl w:val="0"/>
        </w:rPr>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קדושתי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למעלה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מקדושתכם</w:t>
      </w:r>
      <w:r w:rsidDel="00000000" w:rsidR="00000000" w:rsidRPr="00000000">
        <w:rPr>
          <w:rFonts w:ascii="David Libre" w:cs="David Libre" w:eastAsia="David Libre" w:hAnsi="David Libre"/>
          <w:sz w:val="24"/>
          <w:szCs w:val="24"/>
          <w:highlight w:val="white"/>
          <w:rtl w:val="1"/>
        </w:rPr>
        <w:t xml:space="preserve">. </w:t>
      </w:r>
    </w:p>
    <w:p w:rsidR="00000000" w:rsidDel="00000000" w:rsidP="00000000" w:rsidRDefault="00000000" w:rsidRPr="00000000" w14:paraId="00000023">
      <w:pPr>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4">
      <w:pPr>
        <w:bidi w:val="1"/>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יומא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לט</w:t>
      </w:r>
    </w:p>
    <w:p w:rsidR="00000000" w:rsidDel="00000000" w:rsidP="00000000" w:rsidRDefault="00000000" w:rsidRPr="00000000" w14:paraId="00000025">
      <w:pPr>
        <w:bidi w:val="1"/>
        <w:spacing w:after="0" w:line="240" w:lineRule="auto"/>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1"/>
        </w:rPr>
        <w:t xml:space="preserve">תנו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רבנן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תטמאו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בהם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ונטמתם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אדם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מטמא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עצמו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מעט</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מטמאין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אותו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הרבה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מלמטה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מטמאין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אותו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מלמעלה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בעולם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מטמאין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אותו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לעולם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הבא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תנו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רבנן</w:t>
      </w:r>
      <w:r w:rsidDel="00000000" w:rsidR="00000000" w:rsidRPr="00000000">
        <w:rPr>
          <w:rFonts w:ascii="David Libre" w:cs="David Libre" w:eastAsia="David Libre" w:hAnsi="David Libre"/>
          <w:sz w:val="24"/>
          <w:szCs w:val="24"/>
          <w:highlight w:val="white"/>
          <w:rtl w:val="1"/>
        </w:rPr>
        <w:t xml:space="preserve"> (</w:t>
      </w:r>
      <w:hyperlink r:id="rId51">
        <w:r w:rsidDel="00000000" w:rsidR="00000000" w:rsidRPr="00000000">
          <w:rPr>
            <w:rFonts w:ascii="David Libre" w:cs="David Libre" w:eastAsia="David Libre" w:hAnsi="David Libre"/>
            <w:b w:val="1"/>
            <w:color w:val="333333"/>
            <w:sz w:val="24"/>
            <w:szCs w:val="24"/>
            <w:highlight w:val="white"/>
            <w:u w:val="single"/>
            <w:rtl w:val="1"/>
          </w:rPr>
          <w:t xml:space="preserve">ויקרא</w:t>
        </w:r>
      </w:hyperlink>
      <w:hyperlink r:id="rId52">
        <w:r w:rsidDel="00000000" w:rsidR="00000000" w:rsidRPr="00000000">
          <w:rPr>
            <w:rFonts w:ascii="David Libre" w:cs="David Libre" w:eastAsia="David Libre" w:hAnsi="David Libre"/>
            <w:b w:val="1"/>
            <w:color w:val="333333"/>
            <w:sz w:val="24"/>
            <w:szCs w:val="24"/>
            <w:highlight w:val="white"/>
            <w:u w:val="single"/>
            <w:rtl w:val="1"/>
          </w:rPr>
          <w:t xml:space="preserve"> </w:t>
        </w:r>
      </w:hyperlink>
      <w:hyperlink r:id="rId53">
        <w:r w:rsidDel="00000000" w:rsidR="00000000" w:rsidRPr="00000000">
          <w:rPr>
            <w:rFonts w:ascii="David Libre" w:cs="David Libre" w:eastAsia="David Libre" w:hAnsi="David Libre"/>
            <w:b w:val="1"/>
            <w:color w:val="333333"/>
            <w:sz w:val="24"/>
            <w:szCs w:val="24"/>
            <w:highlight w:val="white"/>
            <w:u w:val="single"/>
            <w:rtl w:val="1"/>
          </w:rPr>
          <w:t xml:space="preserve">יא</w:t>
        </w:r>
      </w:hyperlink>
      <w:hyperlink r:id="rId54">
        <w:r w:rsidDel="00000000" w:rsidR="00000000" w:rsidRPr="00000000">
          <w:rPr>
            <w:rFonts w:ascii="David Libre" w:cs="David Libre" w:eastAsia="David Libre" w:hAnsi="David Libre"/>
            <w:b w:val="1"/>
            <w:color w:val="333333"/>
            <w:sz w:val="24"/>
            <w:szCs w:val="24"/>
            <w:highlight w:val="white"/>
            <w:u w:val="single"/>
            <w:rtl w:val="1"/>
          </w:rPr>
          <w:t xml:space="preserve">, </w:t>
        </w:r>
      </w:hyperlink>
      <w:hyperlink r:id="rId55">
        <w:r w:rsidDel="00000000" w:rsidR="00000000" w:rsidRPr="00000000">
          <w:rPr>
            <w:rFonts w:ascii="David Libre" w:cs="David Libre" w:eastAsia="David Libre" w:hAnsi="David Libre"/>
            <w:b w:val="1"/>
            <w:color w:val="333333"/>
            <w:sz w:val="24"/>
            <w:szCs w:val="24"/>
            <w:highlight w:val="white"/>
            <w:u w:val="single"/>
            <w:rtl w:val="1"/>
          </w:rPr>
          <w:t xml:space="preserve">מד</w:t>
        </w:r>
      </w:hyperlink>
      <w:r w:rsidDel="00000000" w:rsidR="00000000" w:rsidRPr="00000000">
        <w:rPr>
          <w:rtl w:val="0"/>
        </w:rPr>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והתקדשתם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והייתם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קדושים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אדם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מקדש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עצמו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מעט</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מקדשין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אותו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הרבה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מלמטה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מקדשין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אותו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מלמעלה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בעולם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מקדשין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אותו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לעולם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הבא</w:t>
      </w:r>
      <w:r w:rsidDel="00000000" w:rsidR="00000000" w:rsidRPr="00000000">
        <w:rPr>
          <w:rFonts w:ascii="David Libre" w:cs="David Libre" w:eastAsia="David Libre" w:hAnsi="David Libre"/>
          <w:sz w:val="24"/>
          <w:szCs w:val="24"/>
          <w:highlight w:val="white"/>
          <w:rtl w:val="1"/>
        </w:rPr>
        <w:t xml:space="preserve"> </w:t>
      </w:r>
    </w:p>
    <w:p w:rsidR="00000000" w:rsidDel="00000000" w:rsidP="00000000" w:rsidRDefault="00000000" w:rsidRPr="00000000" w14:paraId="00000026">
      <w:pPr>
        <w:spacing w:after="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שערי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ישר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הקדמה</w:t>
      </w:r>
      <w:r w:rsidDel="00000000" w:rsidR="00000000" w:rsidRPr="00000000">
        <w:rPr>
          <w:rFonts w:ascii="David Libre" w:cs="David Libre" w:eastAsia="David Libre" w:hAnsi="David Libre"/>
          <w:b w:val="1"/>
          <w:sz w:val="24"/>
          <w:szCs w:val="24"/>
          <w:rtl w:val="0"/>
        </w:rPr>
        <w:t xml:space="preserve">, </w:t>
      </w:r>
      <w:r w:rsidDel="00000000" w:rsidR="00000000" w:rsidRPr="00000000">
        <w:rPr>
          <w:rFonts w:ascii="David Libre" w:cs="David Libre" w:eastAsia="David Libre" w:hAnsi="David Libre"/>
          <w:b w:val="1"/>
          <w:sz w:val="24"/>
          <w:szCs w:val="24"/>
          <w:rtl w:val="0"/>
        </w:rPr>
        <w:t xml:space="preserve">R</w:t>
      </w:r>
      <w:r w:rsidDel="00000000" w:rsidR="00000000" w:rsidRPr="00000000">
        <w:rPr>
          <w:rFonts w:ascii="David Libre" w:cs="David Libre" w:eastAsia="David Libre" w:hAnsi="David Libre"/>
          <w:b w:val="1"/>
          <w:sz w:val="24"/>
          <w:szCs w:val="24"/>
          <w:rtl w:val="0"/>
        </w:rPr>
        <w:t xml:space="preserve"> </w:t>
      </w:r>
      <w:r w:rsidDel="00000000" w:rsidR="00000000" w:rsidRPr="00000000">
        <w:rPr>
          <w:rFonts w:ascii="David Libre" w:cs="David Libre" w:eastAsia="David Libre" w:hAnsi="David Libre"/>
          <w:b w:val="1"/>
          <w:sz w:val="24"/>
          <w:szCs w:val="24"/>
          <w:rtl w:val="0"/>
        </w:rPr>
        <w:t xml:space="preserve">Shimon</w:t>
      </w:r>
      <w:r w:rsidDel="00000000" w:rsidR="00000000" w:rsidRPr="00000000">
        <w:rPr>
          <w:rFonts w:ascii="David Libre" w:cs="David Libre" w:eastAsia="David Libre" w:hAnsi="David Libre"/>
          <w:b w:val="1"/>
          <w:sz w:val="24"/>
          <w:szCs w:val="24"/>
          <w:rtl w:val="0"/>
        </w:rPr>
        <w:t xml:space="preserve"> </w:t>
      </w:r>
      <w:r w:rsidDel="00000000" w:rsidR="00000000" w:rsidRPr="00000000">
        <w:rPr>
          <w:rFonts w:ascii="David Libre" w:cs="David Libre" w:eastAsia="David Libre" w:hAnsi="David Libre"/>
          <w:b w:val="1"/>
          <w:sz w:val="24"/>
          <w:szCs w:val="24"/>
          <w:rtl w:val="0"/>
        </w:rPr>
        <w:t xml:space="preserve">Schkop</w:t>
      </w:r>
    </w:p>
    <w:p w:rsidR="00000000" w:rsidDel="00000000" w:rsidP="00000000" w:rsidRDefault="00000000" w:rsidRPr="00000000" w14:paraId="00000028">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We should not use any act, movement, or get benefit or enjoyment that doesn’t have in it some element of helping another. And as understood, </w:t>
      </w:r>
      <w:r w:rsidDel="00000000" w:rsidR="00000000" w:rsidRPr="00000000">
        <w:rPr>
          <w:rFonts w:ascii="David Libre" w:cs="David Libre" w:eastAsia="David Libre" w:hAnsi="David Libre"/>
          <w:sz w:val="24"/>
          <w:szCs w:val="24"/>
          <w:u w:val="single"/>
          <w:rtl w:val="0"/>
        </w:rPr>
        <w:t xml:space="preserve">all holiness is being set apart for an honorable purpose </w:t>
      </w:r>
      <w:r w:rsidDel="00000000" w:rsidR="00000000" w:rsidRPr="00000000">
        <w:rPr>
          <w:rFonts w:ascii="David Libre" w:cs="David Libre" w:eastAsia="David Libre" w:hAnsi="David Libre"/>
          <w:sz w:val="24"/>
          <w:szCs w:val="24"/>
          <w:rtl w:val="0"/>
        </w:rPr>
        <w:t xml:space="preserve">– which is that a person straightens his path and strives constantly to make his lifestyle dedicated to the community. Then, anything he does even for himself, for the health of his body and soul he also associates to the mitzvah of being holy, for through this he can also do good for the masses. </w:t>
      </w:r>
      <w:r w:rsidDel="00000000" w:rsidR="00000000" w:rsidRPr="00000000">
        <w:rPr>
          <w:rFonts w:ascii="David Libre" w:cs="David Libre" w:eastAsia="David Libre" w:hAnsi="David Libre"/>
          <w:sz w:val="24"/>
          <w:szCs w:val="24"/>
          <w:u w:val="single"/>
          <w:rtl w:val="0"/>
        </w:rPr>
        <w:t xml:space="preserve">Through the good he does for himself he can do good for the many who rely on him</w:t>
      </w:r>
      <w:r w:rsidDel="00000000" w:rsidR="00000000" w:rsidRPr="00000000">
        <w:rPr>
          <w:rFonts w:ascii="David Libre" w:cs="David Libre" w:eastAsia="David Libre" w:hAnsi="David Libre"/>
          <w:sz w:val="24"/>
          <w:szCs w:val="24"/>
          <w:rtl w:val="0"/>
        </w:rPr>
        <w:t xml:space="preserve">. But if he derives benefit from some kind of permissible thing that isn’t needed for the health of his body and soul, that benefit is in opposition to holiness. For in this he is benefiting himself (for that moment as it seems to him), but no one else...</w:t>
      </w:r>
    </w:p>
    <w:p w:rsidR="00000000" w:rsidDel="00000000" w:rsidP="00000000" w:rsidRDefault="00000000" w:rsidRPr="00000000" w14:paraId="00000029">
      <w:pPr>
        <w:spacing w:after="0" w:line="240" w:lineRule="auto"/>
        <w:ind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HOWEVER, what of a person who decides to submerge his nature, to reach a high level so that he has no thought or inclination in his soul for his own good, only a desire for the good of others? In this way he would have his desire reach the sanctity of the Creator, as His Desire in all of the creation and management of the world is only for the good of the created, and not for Himself at all. At first glance one might say that if a person reached this level, he would reach the epitome of being whole. But this is why our Sages of blessed memory teach us in this </w:t>
      </w:r>
      <w:r w:rsidDel="00000000" w:rsidR="00000000" w:rsidRPr="00000000">
        <w:rPr>
          <w:rFonts w:ascii="David Libre" w:cs="David Libre" w:eastAsia="David Libre" w:hAnsi="David Libre"/>
          <w:i w:val="1"/>
          <w:sz w:val="24"/>
          <w:szCs w:val="24"/>
          <w:rtl w:val="0"/>
        </w:rPr>
        <w:t xml:space="preserve">Midrash </w:t>
      </w:r>
      <w:r w:rsidDel="00000000" w:rsidR="00000000" w:rsidRPr="00000000">
        <w:rPr>
          <w:rFonts w:ascii="David Libre" w:cs="David Libre" w:eastAsia="David Libre" w:hAnsi="David Libre"/>
          <w:sz w:val="24"/>
          <w:szCs w:val="24"/>
          <w:rtl w:val="0"/>
        </w:rPr>
        <w:t xml:space="preserve">that it is not so. We cannot try to be similar to His Holiness in this respect. For His Holiness is greater than ours. His Holiness is only for the created and not for Himself because nothing was ever added to or could ever be added to the Creator through the actions He did or does. Therefore all His Desire could only be to be good to the created, but what He wants from us is not like this. As Rabbi Akiva taught us, “your life comes first.”</w:t>
      </w:r>
    </w:p>
    <w:p w:rsidR="00000000" w:rsidDel="00000000" w:rsidP="00000000" w:rsidRDefault="00000000" w:rsidRPr="00000000" w14:paraId="0000002A">
      <w:pPr>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B">
      <w:pPr>
        <w:bidi w:val="1"/>
        <w:spacing w:after="0" w:line="240" w:lineRule="auto"/>
        <w:jc w:val="both"/>
        <w:rPr>
          <w:rFonts w:ascii="David Libre" w:cs="David Libre" w:eastAsia="David Libre" w:hAnsi="David Libre"/>
          <w:sz w:val="24"/>
          <w:szCs w:val="24"/>
        </w:rPr>
      </w:pPr>
      <w:r w:rsidDel="00000000" w:rsidR="00000000" w:rsidRPr="00000000">
        <w:rPr>
          <w:rtl w:val="0"/>
        </w:rPr>
      </w:r>
    </w:p>
    <w:sectPr>
      <w:pgSz w:h="15840" w:w="12240"/>
      <w:pgMar w:bottom="1440" w:top="1440" w:left="1440" w:right="1440" w:header="720" w:footer="720"/>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sefaria.org.il/Deuteronomy.6.18" TargetMode="External"/><Relationship Id="rId42" Type="http://schemas.openxmlformats.org/officeDocument/2006/relationships/hyperlink" Target="https://www.sefaria.org.il/Deuteronomy.6.18" TargetMode="External"/><Relationship Id="rId41" Type="http://schemas.openxmlformats.org/officeDocument/2006/relationships/hyperlink" Target="https://www.sefaria.org.il/Deuteronomy.6.18" TargetMode="External"/><Relationship Id="rId44" Type="http://schemas.openxmlformats.org/officeDocument/2006/relationships/hyperlink" Target="https://www.sefaria.org.il/Deuteronomy.6.18" TargetMode="External"/><Relationship Id="rId43" Type="http://schemas.openxmlformats.org/officeDocument/2006/relationships/hyperlink" Target="https://www.sefaria.org.il/Deuteronomy.6.18" TargetMode="External"/><Relationship Id="rId46" Type="http://schemas.openxmlformats.org/officeDocument/2006/relationships/hyperlink" Target="https://www.sefaria.org.il/Nazir.19a" TargetMode="External"/><Relationship Id="rId45" Type="http://schemas.openxmlformats.org/officeDocument/2006/relationships/hyperlink" Target="https://www.sefaria.org.il/Nazir.1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faria.org.il/Leviticus.21" TargetMode="External"/><Relationship Id="rId48" Type="http://schemas.openxmlformats.org/officeDocument/2006/relationships/hyperlink" Target="https://www.sefaria.org.il/Nazir.19a" TargetMode="External"/><Relationship Id="rId47" Type="http://schemas.openxmlformats.org/officeDocument/2006/relationships/hyperlink" Target="https://www.sefaria.org.il/Nazir.19a" TargetMode="External"/><Relationship Id="rId49" Type="http://schemas.openxmlformats.org/officeDocument/2006/relationships/hyperlink" Target="https://www.sefaria.org.il/Nazir.19a" TargetMode="External"/><Relationship Id="rId5" Type="http://schemas.openxmlformats.org/officeDocument/2006/relationships/styles" Target="styles.xml"/><Relationship Id="rId6" Type="http://schemas.openxmlformats.org/officeDocument/2006/relationships/hyperlink" Target="https://www.sefaria.org.il/Leviticus.21" TargetMode="External"/><Relationship Id="rId7" Type="http://schemas.openxmlformats.org/officeDocument/2006/relationships/hyperlink" Target="https://www.sefaria.org.il/Leviticus.21" TargetMode="External"/><Relationship Id="rId8" Type="http://schemas.openxmlformats.org/officeDocument/2006/relationships/hyperlink" Target="https://www.sefaria.org.il/Leviticus.21" TargetMode="External"/><Relationship Id="rId31" Type="http://schemas.openxmlformats.org/officeDocument/2006/relationships/hyperlink" Target="https://www.sefaria.org.il/Numbers.6.8" TargetMode="External"/><Relationship Id="rId30" Type="http://schemas.openxmlformats.org/officeDocument/2006/relationships/hyperlink" Target="https://www.sefaria.org.il/Numbers.6.8" TargetMode="External"/><Relationship Id="rId33" Type="http://schemas.openxmlformats.org/officeDocument/2006/relationships/hyperlink" Target="https://www.sefaria.org.il/Isaiah.9.16" TargetMode="External"/><Relationship Id="rId32" Type="http://schemas.openxmlformats.org/officeDocument/2006/relationships/hyperlink" Target="https://www.sefaria.org.il/Isaiah.9.16" TargetMode="External"/><Relationship Id="rId35" Type="http://schemas.openxmlformats.org/officeDocument/2006/relationships/hyperlink" Target="https://www.sefaria.org.il/Isaiah.9.16" TargetMode="External"/><Relationship Id="rId34" Type="http://schemas.openxmlformats.org/officeDocument/2006/relationships/hyperlink" Target="https://www.sefaria.org.il/Isaiah.9.16" TargetMode="External"/><Relationship Id="rId37" Type="http://schemas.openxmlformats.org/officeDocument/2006/relationships/hyperlink" Target="https://www.sefaria.org.il/Berakhot.53a" TargetMode="External"/><Relationship Id="rId36" Type="http://schemas.openxmlformats.org/officeDocument/2006/relationships/hyperlink" Target="https://www.sefaria.org.il/Isaiah.9.16" TargetMode="External"/><Relationship Id="rId39" Type="http://schemas.openxmlformats.org/officeDocument/2006/relationships/hyperlink" Target="https://www.sefaria.org.il/Berakhot.53a" TargetMode="External"/><Relationship Id="rId38" Type="http://schemas.openxmlformats.org/officeDocument/2006/relationships/hyperlink" Target="https://www.sefaria.org.il/Berakhot.53a" TargetMode="External"/><Relationship Id="rId20" Type="http://schemas.openxmlformats.org/officeDocument/2006/relationships/hyperlink" Target="https://www.sefaria.org.il/Genesis.9.21" TargetMode="External"/><Relationship Id="rId22" Type="http://schemas.openxmlformats.org/officeDocument/2006/relationships/hyperlink" Target="https://www.sefaria.org.il/Genesis.9.21" TargetMode="External"/><Relationship Id="rId21" Type="http://schemas.openxmlformats.org/officeDocument/2006/relationships/hyperlink" Target="https://www.sefaria.org.il/Genesis.9.21" TargetMode="External"/><Relationship Id="rId24" Type="http://schemas.openxmlformats.org/officeDocument/2006/relationships/hyperlink" Target="https://www.sefaria.org.il/Chagigah.18a" TargetMode="External"/><Relationship Id="rId23" Type="http://schemas.openxmlformats.org/officeDocument/2006/relationships/hyperlink" Target="https://www.sefaria.org.il/Genesis.9.21" TargetMode="External"/><Relationship Id="rId26" Type="http://schemas.openxmlformats.org/officeDocument/2006/relationships/hyperlink" Target="https://www.sefaria.org.il/Chagigah.18a" TargetMode="External"/><Relationship Id="rId25" Type="http://schemas.openxmlformats.org/officeDocument/2006/relationships/hyperlink" Target="https://www.sefaria.org.il/Chagigah.18a" TargetMode="External"/><Relationship Id="rId28" Type="http://schemas.openxmlformats.org/officeDocument/2006/relationships/hyperlink" Target="https://www.sefaria.org.il/Numbers.6.8" TargetMode="External"/><Relationship Id="rId27" Type="http://schemas.openxmlformats.org/officeDocument/2006/relationships/hyperlink" Target="https://www.sefaria.org.il/Numbers.6.8" TargetMode="External"/><Relationship Id="rId29" Type="http://schemas.openxmlformats.org/officeDocument/2006/relationships/hyperlink" Target="https://www.sefaria.org.il/Numbers.6.8" TargetMode="External"/><Relationship Id="rId51" Type="http://schemas.openxmlformats.org/officeDocument/2006/relationships/hyperlink" Target="https://www.sefaria.org.il/Leviticus.11.44" TargetMode="External"/><Relationship Id="rId50" Type="http://schemas.openxmlformats.org/officeDocument/2006/relationships/hyperlink" Target="https://www.torahmusings.com/2013/03/holy-money/" TargetMode="External"/><Relationship Id="rId53" Type="http://schemas.openxmlformats.org/officeDocument/2006/relationships/hyperlink" Target="https://www.sefaria.org.il/Leviticus.11.44" TargetMode="External"/><Relationship Id="rId52" Type="http://schemas.openxmlformats.org/officeDocument/2006/relationships/hyperlink" Target="https://www.sefaria.org.il/Leviticus.11.44" TargetMode="External"/><Relationship Id="rId11" Type="http://schemas.openxmlformats.org/officeDocument/2006/relationships/hyperlink" Target="https://www.sefaria.org.il/Berakhot.22a" TargetMode="External"/><Relationship Id="rId55" Type="http://schemas.openxmlformats.org/officeDocument/2006/relationships/hyperlink" Target="https://www.sefaria.org.il/Leviticus.11.44" TargetMode="External"/><Relationship Id="rId10" Type="http://schemas.openxmlformats.org/officeDocument/2006/relationships/hyperlink" Target="https://www.sefaria.org.il/Leviticus.21" TargetMode="External"/><Relationship Id="rId54" Type="http://schemas.openxmlformats.org/officeDocument/2006/relationships/hyperlink" Target="https://www.sefaria.org.il/Leviticus.11.44" TargetMode="External"/><Relationship Id="rId13" Type="http://schemas.openxmlformats.org/officeDocument/2006/relationships/hyperlink" Target="https://www.sefaria.org.il/Berakhot.22a" TargetMode="External"/><Relationship Id="rId12" Type="http://schemas.openxmlformats.org/officeDocument/2006/relationships/hyperlink" Target="https://www.sefaria.org.il/Berakhot.22a" TargetMode="External"/><Relationship Id="rId15" Type="http://schemas.openxmlformats.org/officeDocument/2006/relationships/hyperlink" Target="https://www.sefaria.org.il/Numbers.6.5" TargetMode="External"/><Relationship Id="rId14" Type="http://schemas.openxmlformats.org/officeDocument/2006/relationships/hyperlink" Target="https://www.sefaria.org.il/Numbers.6.5" TargetMode="External"/><Relationship Id="rId17" Type="http://schemas.openxmlformats.org/officeDocument/2006/relationships/hyperlink" Target="https://www.sefaria.org.il/Numbers.6.5" TargetMode="External"/><Relationship Id="rId16" Type="http://schemas.openxmlformats.org/officeDocument/2006/relationships/hyperlink" Target="https://www.sefaria.org.il/Numbers.6.5" TargetMode="External"/><Relationship Id="rId19" Type="http://schemas.openxmlformats.org/officeDocument/2006/relationships/hyperlink" Target="https://www.sefaria.org.il/Genesis.9.21" TargetMode="External"/><Relationship Id="rId18" Type="http://schemas.openxmlformats.org/officeDocument/2006/relationships/hyperlink" Target="https://www.sefaria.org.il/Numbers.6.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