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40" w:lineRule="auto"/>
        <w:jc w:val="both"/>
        <w:rPr/>
      </w:pPr>
      <w:bookmarkStart w:colFirst="0" w:colLast="0" w:name="_frwm4ccpa2xa" w:id="0"/>
      <w:bookmarkEnd w:id="0"/>
      <w:r w:rsidDel="00000000" w:rsidR="00000000" w:rsidRPr="00000000">
        <w:rPr>
          <w:rtl w:val="0"/>
        </w:rPr>
        <w:t xml:space="preserve">Judging Favorably</w:t>
      </w:r>
    </w:p>
    <w:p w:rsidR="00000000" w:rsidDel="00000000" w:rsidP="00000000" w:rsidRDefault="00000000" w:rsidRPr="00000000" w14:paraId="00000002">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w:t>
      </w:r>
    </w:p>
    <w:p w:rsidR="00000000" w:rsidDel="00000000" w:rsidP="00000000" w:rsidRDefault="00000000" w:rsidRPr="00000000" w14:paraId="0000000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צ</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פ</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ית</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ך</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04">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5">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שבועות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0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עמיתך</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דבריך</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עמיתך</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חבירך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8">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עמיתך</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השתדל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9">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A">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0B">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0C">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D">
      <w:pPr>
        <w:bidi w:val="1"/>
        <w:spacing w:line="240" w:lineRule="auto"/>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E">
      <w:pPr>
        <w:bidi w:val="1"/>
        <w:spacing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1"/>
        </w:rPr>
        <w:t xml:space="preserve">תנא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ישמעאל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בלילה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תהרהר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תשובה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והני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מילי</w:t>
      </w:r>
      <w:r w:rsidDel="00000000" w:rsidR="00000000" w:rsidRPr="00000000">
        <w:rPr>
          <w:rFonts w:ascii="David Libre" w:cs="David Libre" w:eastAsia="David Libre" w:hAnsi="David Libre"/>
          <w:sz w:val="24"/>
          <w:szCs w:val="24"/>
          <w:u w:val="single"/>
          <w:rtl w:val="1"/>
        </w:rPr>
        <w:t xml:space="preserve"> - </w:t>
      </w:r>
      <w:r w:rsidDel="00000000" w:rsidR="00000000" w:rsidRPr="00000000">
        <w:rPr>
          <w:rFonts w:ascii="David Libre" w:cs="David Libre" w:eastAsia="David Libre" w:hAnsi="David Libre"/>
          <w:sz w:val="24"/>
          <w:szCs w:val="24"/>
          <w:u w:val="single"/>
          <w:rtl w:val="1"/>
        </w:rPr>
        <w:t xml:space="preserve">בדברים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שבגופו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בממונא</w:t>
      </w:r>
      <w:r w:rsidDel="00000000" w:rsidR="00000000" w:rsidRPr="00000000">
        <w:rPr>
          <w:rFonts w:ascii="David Libre" w:cs="David Libre" w:eastAsia="David Libre" w:hAnsi="David Libre"/>
          <w:sz w:val="24"/>
          <w:szCs w:val="24"/>
          <w:u w:val="single"/>
          <w:rtl w:val="1"/>
        </w:rPr>
        <w:t xml:space="preserve"> -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דמהדר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למריה</w:t>
      </w:r>
      <w:r w:rsidDel="00000000" w:rsidR="00000000" w:rsidRPr="00000000">
        <w:rPr>
          <w:rFonts w:ascii="David Libre" w:cs="David Libre" w:eastAsia="David Libre" w:hAnsi="David Libre"/>
          <w:sz w:val="24"/>
          <w:szCs w:val="24"/>
          <w:u w:val="single"/>
          <w:rtl w:val="1"/>
        </w:rPr>
        <w:t xml:space="preserve">. </w:t>
      </w:r>
    </w:p>
    <w:p w:rsidR="00000000" w:rsidDel="00000000" w:rsidP="00000000" w:rsidRDefault="00000000" w:rsidRPr="00000000" w14:paraId="0000000F">
      <w:pPr>
        <w:bidi w:val="1"/>
        <w:spacing w:line="240" w:lineRule="auto"/>
        <w:jc w:val="both"/>
        <w:rPr>
          <w:rFonts w:ascii="David Libre" w:cs="David Libre" w:eastAsia="David Libre" w:hAnsi="David Libre"/>
          <w:sz w:val="24"/>
          <w:szCs w:val="24"/>
          <w:u w:val="single"/>
        </w:rPr>
      </w:pPr>
      <w:r w:rsidDel="00000000" w:rsidR="00000000" w:rsidRPr="00000000">
        <w:rPr>
          <w:rtl w:val="0"/>
        </w:rPr>
      </w:r>
    </w:p>
    <w:p w:rsidR="00000000" w:rsidDel="00000000" w:rsidP="00000000" w:rsidRDefault="00000000" w:rsidRPr="00000000" w14:paraId="00000010">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המצוות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מצות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קעז</w:t>
      </w:r>
    </w:p>
    <w:p w:rsidR="00000000" w:rsidDel="00000000" w:rsidP="00000000" w:rsidRDefault="00000000" w:rsidRPr="00000000" w14:paraId="0000001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שנצטוו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שבועו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ושישבית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עמיתך</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שבועו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וספרא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ודבריו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וחסד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התבארו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מפוזרים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התלמוד</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4">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5">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1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השויית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יסביר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קשות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7">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8">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שערי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תשובה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לרבינו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ריח</w:t>
      </w:r>
    </w:p>
    <w:p w:rsidR="00000000" w:rsidDel="00000000" w:rsidP="00000000" w:rsidRDefault="00000000" w:rsidRPr="00000000" w14:paraId="00000019">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נתחייבת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הבינונים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יזהרו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החטא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ופעמים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יכשלו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להטות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ולהכריעו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רבותינו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זכרונם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לברכה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שבת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קכז</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הדן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חברו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לכף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המקום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ידינהו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לכף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עשה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שנאמר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ויקרא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יט</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בצדק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תשפוט</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עמיתך</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תכריעהו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תכריע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ודבריו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חובה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A">
      <w:pPr>
        <w:bidi w:val="1"/>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B">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חפץ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לשון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הרע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כלל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1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שדיבר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הבינונים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יזהרו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ולהכריעו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יכריעהו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ובשביל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וגינהו</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לבד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בצדק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תשפוט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עמיתך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סיפור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E">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1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עניינו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לך</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ותראהו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תפרשהו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פרשהו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כטוב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צדיק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ומפורסם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תכונותיו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בדוחק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ובאפשרות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רחוקה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לחושדו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החושד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וכן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רשע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ונתפרסמו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מעשיו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ראינוהו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להשמר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להאמין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אפשרות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לרע</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בלתי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ידוע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והמעשה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נוטה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הקצוות</w:t>
      </w:r>
      <w:r w:rsidDel="00000000" w:rsidR="00000000" w:rsidRPr="00000000">
        <w:rPr>
          <w:rFonts w:ascii="David Libre" w:cs="David Libre" w:eastAsia="David Libre" w:hAnsi="David Libre"/>
          <w:b w:val="1"/>
          <w:sz w:val="24"/>
          <w:szCs w:val="24"/>
          <w:u w:val="single"/>
          <w:rtl w:val="1"/>
        </w:rPr>
        <w:t xml:space="preserve"> - </w:t>
      </w:r>
      <w:r w:rsidDel="00000000" w:rsidR="00000000" w:rsidRPr="00000000">
        <w:rPr>
          <w:rFonts w:ascii="David Libre" w:cs="David Libre" w:eastAsia="David Libre" w:hAnsi="David Libre"/>
          <w:b w:val="1"/>
          <w:sz w:val="24"/>
          <w:szCs w:val="24"/>
          <w:u w:val="single"/>
          <w:rtl w:val="1"/>
        </w:rPr>
        <w:t xml:space="preserve">צריך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בדרך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המעלה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שידון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לכף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הקצוות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שתהיה</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0">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2">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הבחירה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מאירי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שבת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קכז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2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באפשר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רחוק</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בהפך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מוחזק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ברשע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באפשר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רחוק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ובאדם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הוכחת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המעשה</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מבהפכו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המכריע</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מבוארת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4">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Shabbat 127b</w:t>
      </w:r>
    </w:p>
    <w:p w:rsidR="00000000" w:rsidDel="00000000" w:rsidP="00000000" w:rsidRDefault="00000000" w:rsidRPr="00000000" w14:paraId="00000026">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 story is told of a certain man who descended from Upper Galilee and was engaged by an individual in the South for three years. On the eve of the Day of Atonement  he requested him, 'Give me my wages that I may go and support my wife and children.' 'I have no money,' answered he. 'Give me produce,' he demanded; 'I have none,' he replied. 'Give me land.' — 'I have none.' 'Give me cattle.' — 'I have none. 'Give me pillows and bedding.' — 'I have none.' [So] he slung his things behind him and went home with a sorrowful heart. </w:t>
      </w:r>
    </w:p>
    <w:p w:rsidR="00000000" w:rsidDel="00000000" w:rsidP="00000000" w:rsidRDefault="00000000" w:rsidRPr="00000000" w14:paraId="00000027">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After the Festival his employer took his wages in his hand together with three laden donkeys, one bearing food, another drink, and the third various sweetmeats, and went to his house. After they had eaten and drunk, he gave him his wages. Said he to him, 'When you asked me, "Give me my wages," and I answered you, "I have no money," of what did you suspect me?' 'I thought, Perhaps you came across cheap merchandise and had purchased it therewith.' 'And when you requested me, "Give me cattle," and I answered, "I have no cattle," of what did you suspect me?' 'I thought, they may be hired to others.' 'When you asked me, "Give me land," and I told you, "I have no land," of what did you suspect me?' 'I thought, perhaps it is leased to others.' 'And when I told you, "I have no produce," of what did you suspect me?' 'I thought, Perhaps they are not tithed.' 'And when I told you, "I have no pillows or bedding," of what did you suspect me?' 'I thought, perhaps he has sanctified all his property to Heaven.' 'By the [Temple] service!' exclaimed he, 'it was even so; I vowed away all my property because of </w:t>
      </w:r>
      <w:r w:rsidDel="00000000" w:rsidR="00000000" w:rsidRPr="00000000">
        <w:rPr>
          <w:rFonts w:ascii="David Libre" w:cs="David Libre" w:eastAsia="David Libre" w:hAnsi="David Libre"/>
          <w:sz w:val="24"/>
          <w:szCs w:val="24"/>
          <w:u w:val="single"/>
          <w:rtl w:val="0"/>
        </w:rPr>
        <w:t xml:space="preserve">my son Hyrcanus</w:t>
      </w:r>
      <w:r w:rsidDel="00000000" w:rsidR="00000000" w:rsidRPr="00000000">
        <w:rPr>
          <w:rFonts w:ascii="David Libre" w:cs="David Libre" w:eastAsia="David Libre" w:hAnsi="David Libre"/>
          <w:sz w:val="24"/>
          <w:szCs w:val="24"/>
          <w:rtl w:val="0"/>
        </w:rPr>
        <w:t xml:space="preserve">, who would not occupy himself with the Torah, but when I went to my companions in the South they absolved me of all my vows. And as for you, just </w:t>
      </w:r>
      <w:r w:rsidDel="00000000" w:rsidR="00000000" w:rsidRPr="00000000">
        <w:rPr>
          <w:rFonts w:ascii="David Libre" w:cs="David Libre" w:eastAsia="David Libre" w:hAnsi="David Libre"/>
          <w:sz w:val="24"/>
          <w:szCs w:val="24"/>
          <w:u w:val="single"/>
          <w:rtl w:val="0"/>
        </w:rPr>
        <w:t xml:space="preserve">as you judged me favourably, so may the Omnipresent judge you favourably</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8">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9">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A">
      <w:pPr>
        <w:pStyle w:val="Heading1"/>
        <w:spacing w:line="240" w:lineRule="auto"/>
        <w:jc w:val="both"/>
        <w:rPr/>
      </w:pPr>
      <w:bookmarkStart w:colFirst="0" w:colLast="0" w:name="_iv99odnumhhd" w:id="1"/>
      <w:bookmarkEnd w:id="1"/>
      <w:r w:rsidDel="00000000" w:rsidR="00000000" w:rsidRPr="00000000">
        <w:rPr>
          <w:rtl w:val="0"/>
        </w:rPr>
        <w:t xml:space="preserve">Why?</w:t>
      </w:r>
    </w:p>
    <w:p w:rsidR="00000000" w:rsidDel="00000000" w:rsidP="00000000" w:rsidRDefault="00000000" w:rsidRPr="00000000" w14:paraId="0000002B">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I. </w:t>
      </w:r>
      <w:commentRangeStart w:id="1"/>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החינוך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מצוה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רלה</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C">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Pr>
        <w:drawing>
          <wp:inline distB="114300" distT="114300" distL="114300" distR="114300">
            <wp:extent cx="2492689" cy="372110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92689"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bidi w:val="1"/>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2E">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II</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מהרש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סד</w:t>
      </w:r>
    </w:p>
    <w:p w:rsidR="00000000" w:rsidDel="00000000" w:rsidP="00000000" w:rsidRDefault="00000000" w:rsidRPr="00000000" w14:paraId="0000002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מכריעו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נתכוון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בניהן</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30">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6675120" cy="1066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67512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3">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III</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חיבור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התשובה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למאירי</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משיב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נפש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מאמר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p>
    <w:p w:rsidR="00000000" w:rsidDel="00000000" w:rsidP="00000000" w:rsidRDefault="00000000" w:rsidRPr="00000000" w14:paraId="0000003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החושד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התעכב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בחשדו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תביאהו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להיות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הצדיקים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כרשעים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אצלו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ומצדיקים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לחשוד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המחשבה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יכריח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טבעו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להיותו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שומע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למצות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חכמים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יחשדם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בדבריהם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לתוכחתם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שמוכיחים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המחשבה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הקדמונים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להמשך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העברות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ולבלתי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וקבל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תוכחת</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השופטים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ששופט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שופטיו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קיסם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בקיסם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המוכיחים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מיסרים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וגדולות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ביסרם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התוכחת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במעשיהם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5">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בהזהירם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בענין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החכמים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לדון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ולהרהר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חזקת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חסידותם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שיודע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בברור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נטרפה</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באחת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מפעלותיהם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קרוב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נטיתו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באפשר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רחוק</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התחייבנו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החסידות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ולחשוב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בפעלו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הטוב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ההכרע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ובמי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התפרסם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שהתפרסם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הפעלה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והתפרסמו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צדדיה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מכריעים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u w:val="single"/>
          <w:rtl w:val="1"/>
        </w:rPr>
        <w:t xml:space="preserve">וכן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בהפך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בהתפרסם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הפעולה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צדיק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בצאת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להכריעו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בדוחק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ובאפשר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אפשרות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לחשדו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החושד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בגופו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תהרהר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המוכיחים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המפורסמים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לחשוד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ולבזות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תוכחתם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6">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3312605" cy="4422775"/>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312605" cy="44227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9">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דברי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שלום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יב</w:t>
      </w:r>
    </w:p>
    <w:p w:rsidR="00000000" w:rsidDel="00000000" w:rsidP="00000000" w:rsidRDefault="00000000" w:rsidRPr="00000000" w14:paraId="0000003A">
      <w:pPr>
        <w:bidi w:val="1"/>
        <w:spacing w:line="240" w:lineRule="auto"/>
        <w:jc w:val="both"/>
        <w:rPr>
          <w:rFonts w:ascii="David Libre" w:cs="David Libre" w:eastAsia="David Libre" w:hAnsi="David Libre"/>
          <w:sz w:val="24"/>
          <w:szCs w:val="24"/>
        </w:rPr>
      </w:pPr>
      <w:r w:rsidDel="00000000" w:rsidR="00000000" w:rsidRPr="00000000">
        <w:rPr>
          <w:rtl w:val="0"/>
        </w:rPr>
      </w:r>
    </w:p>
    <w:tbl>
      <w:tblPr>
        <w:tblStyle w:val="Table1"/>
        <w:bidiVisual w:val="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3190875" cy="56134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190875" cy="5613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3190875" cy="654050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190875" cy="6540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F">
      <w:pPr>
        <w:pStyle w:val="Heading1"/>
        <w:spacing w:line="240" w:lineRule="auto"/>
        <w:jc w:val="both"/>
        <w:rPr/>
      </w:pPr>
      <w:bookmarkStart w:colFirst="0" w:colLast="0" w:name="_dvhuotw31dlg" w:id="2"/>
      <w:bookmarkEnd w:id="2"/>
      <w:r w:rsidDel="00000000" w:rsidR="00000000" w:rsidRPr="00000000">
        <w:rPr>
          <w:rtl w:val="0"/>
        </w:rPr>
        <w:t xml:space="preserve">Benefit</w:t>
      </w:r>
    </w:p>
    <w:p w:rsidR="00000000" w:rsidDel="00000000" w:rsidP="00000000" w:rsidRDefault="00000000" w:rsidRPr="00000000" w14:paraId="00000040">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שבת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קכז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4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לזכות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2">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3">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שיטה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מקובצת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נדרים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44">
      <w:pPr>
        <w:bidi w:val="1"/>
        <w:spacing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בחגיגה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אשכחיה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דכולהו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קליפתו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נידונין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שיודע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תרעומת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הדין</w:t>
      </w:r>
      <w:r w:rsidDel="00000000" w:rsidR="00000000" w:rsidRPr="00000000">
        <w:rPr>
          <w:rFonts w:ascii="David Libre" w:cs="David Libre" w:eastAsia="David Libre" w:hAnsi="David Libre"/>
          <w:sz w:val="24"/>
          <w:szCs w:val="24"/>
          <w:u w:val="single"/>
          <w:rtl w:val="1"/>
        </w:rPr>
        <w:t xml:space="preserve">. </w:t>
      </w:r>
    </w:p>
    <w:sectPr>
      <w:pgSz w:h="15840" w:w="12240"/>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1" w:date="2020-07-26T17:53:13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Assuming it's for judges</w:t>
      </w:r>
    </w:p>
  </w:comment>
  <w:comment w:author="Dani Schreiber" w:id="0" w:date="2020-07-26T17:48:21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if it was an actual aveira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