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jc w:val="both"/>
        <w:rPr>
          <w:sz w:val="40"/>
          <w:szCs w:val="40"/>
        </w:rPr>
      </w:pPr>
      <w:bookmarkStart w:colFirst="0" w:colLast="0" w:name="_3oj2rfpmycyg" w:id="0"/>
      <w:bookmarkEnd w:id="0"/>
      <w:commentRangeStart w:id="0"/>
      <w:r w:rsidDel="00000000" w:rsidR="00000000" w:rsidRPr="00000000">
        <w:rPr>
          <w:b w:val="1"/>
          <w:sz w:val="40"/>
          <w:szCs w:val="40"/>
          <w:rtl w:val="0"/>
        </w:rPr>
        <w:t xml:space="preserve">Who’s Your Daddy</w:t>
      </w:r>
      <w:r w:rsidDel="00000000" w:rsidR="00000000" w:rsidRPr="00000000">
        <w:rPr>
          <w:sz w:val="40"/>
          <w:szCs w:val="40"/>
          <w:rtl w:val="0"/>
        </w:rPr>
        <w:t xml:space="preserve">? Fertility Technology in Halacha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spacing w:after="0" w:line="240" w:lineRule="auto"/>
        <w:jc w:val="both"/>
        <w:rPr>
          <w:rFonts w:ascii="David Libre" w:cs="David Libre" w:eastAsia="David Libre" w:hAnsi="David Libre"/>
          <w:b w:val="1"/>
        </w:rPr>
      </w:pPr>
      <w:r w:rsidDel="00000000" w:rsidR="00000000" w:rsidRPr="00000000">
        <w:rPr>
          <w:rtl w:val="0"/>
        </w:rPr>
      </w:r>
    </w:p>
    <w:tbl>
      <w:tblPr>
        <w:tblStyle w:val="Table1"/>
        <w:tblW w:w="105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5220"/>
        <w:tblGridChange w:id="0">
          <w:tblGrid>
            <w:gridCol w:w="5280"/>
            <w:gridCol w:w="522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after="0"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Chagiga 14b</w:t>
            </w:r>
          </w:p>
          <w:p w:rsidR="00000000" w:rsidDel="00000000" w:rsidP="00000000" w:rsidRDefault="00000000" w:rsidRPr="00000000" w14:paraId="00000004">
            <w:pPr>
              <w:spacing w:after="0" w:line="240" w:lineRule="auto"/>
              <w:jc w:val="both"/>
              <w:rPr>
                <w:rFonts w:ascii="David Libre" w:cs="David Libre" w:eastAsia="David Libre" w:hAnsi="David Libre"/>
                <w:b w:val="1"/>
              </w:rPr>
            </w:pPr>
            <w:r w:rsidDel="00000000" w:rsidR="00000000" w:rsidRPr="00000000">
              <w:rPr>
                <w:rFonts w:ascii="David Libre" w:cs="David Libre" w:eastAsia="David Libre" w:hAnsi="David Libre"/>
                <w:rtl w:val="0"/>
              </w:rPr>
              <w:t xml:space="preserve">Ben Zoma was [further] asked: May a high priest marry a virgin who has become pregnant? Do we [in such a case] take into consideration Samuel's statement, for Samuel said, I can have repeated sexual connections without [causing] bleeding; or is perhaps the case of Samuel rare? He replied: the case of Samuel is rare, but we do consider [the possibility] that she may have conceived in a bath. But behold Samuel said: A spermatic emission that does not shoot forth like an arrow cannot fructify! — In the first instance, it had also shot forth like an arrow.</w:t>
            </w: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Taz, Even ha-Ezer 1:8</w:t>
            </w:r>
          </w:p>
          <w:p w:rsidR="00000000" w:rsidDel="00000000" w:rsidP="00000000" w:rsidRDefault="00000000" w:rsidRPr="00000000" w14:paraId="00000006">
            <w:pPr>
              <w:spacing w:after="0" w:lin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0"/>
              </w:rPr>
              <w:t xml:space="preserve">Chelkat Mechokeik </w:t>
            </w:r>
            <w:r w:rsidDel="00000000" w:rsidR="00000000" w:rsidRPr="00000000">
              <w:rPr>
                <w:rFonts w:ascii="David Libre" w:cs="David Libre" w:eastAsia="David Libre" w:hAnsi="David Libre"/>
                <w:rtl w:val="0"/>
              </w:rPr>
              <w:t xml:space="preserve">wrote that there is room for doubt as to whether a man fulfills “Bear fruit and multiply”, and whether the child is recognized as his for all matters, if a woman becomes pregnant in a tub. </w:t>
            </w:r>
          </w:p>
          <w:p w:rsidR="00000000" w:rsidDel="00000000" w:rsidP="00000000" w:rsidRDefault="00000000" w:rsidRPr="00000000" w14:paraId="00000007">
            <w:pPr>
              <w:spacing w:after="0"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Beit Shemuel </w:t>
            </w:r>
            <w:r w:rsidDel="00000000" w:rsidR="00000000" w:rsidRPr="00000000">
              <w:rPr>
                <w:rFonts w:ascii="David Libre" w:cs="David Libre" w:eastAsia="David Libre" w:hAnsi="David Libre"/>
                <w:rtl w:val="0"/>
              </w:rPr>
              <w:t xml:space="preserve">sought to prove it from </w:t>
            </w:r>
            <w:r w:rsidDel="00000000" w:rsidR="00000000" w:rsidRPr="00000000">
              <w:rPr>
                <w:rFonts w:ascii="David Libre" w:cs="David Libre" w:eastAsia="David Libre" w:hAnsi="David Libre"/>
                <w:b w:val="1"/>
                <w:rtl w:val="0"/>
              </w:rPr>
              <w:t xml:space="preserve">Bach</w:t>
            </w:r>
            <w:r w:rsidDel="00000000" w:rsidR="00000000" w:rsidRPr="00000000">
              <w:rPr>
                <w:rFonts w:ascii="David Libre" w:cs="David Libre" w:eastAsia="David Libre" w:hAnsi="David Libre"/>
                <w:rtl w:val="0"/>
              </w:rPr>
              <w:t xml:space="preserve">, Yoreh Deah 195, where he said that a woman should be careful not to lie on a sheet where a man lay, lest she conceive from his seed, lest the child marry his paternal sister. We see that this is considered his son for all matters. But this is not proof; we might say this to be strict, but not to be lenient.</w:t>
            </w:r>
            <w:r w:rsidDel="00000000" w:rsidR="00000000" w:rsidRPr="00000000">
              <w:rPr>
                <w:rtl w:val="0"/>
              </w:rPr>
            </w:r>
          </w:p>
        </w:tc>
      </w:tr>
    </w:tbl>
    <w:p w:rsidR="00000000" w:rsidDel="00000000" w:rsidP="00000000" w:rsidRDefault="00000000" w:rsidRPr="00000000" w14:paraId="00000008">
      <w:pPr>
        <w:bidi w:val="1"/>
        <w:spacing w:after="0" w:line="240"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09">
      <w:pPr>
        <w:bidi w:val="1"/>
        <w:spacing w:after="0" w:line="240" w:lineRule="auto"/>
        <w:jc w:val="both"/>
        <w:rPr>
          <w:rFonts w:ascii="David Libre" w:cs="David Libre" w:eastAsia="David Libre" w:hAnsi="David Libre"/>
          <w:b w:val="1"/>
          <w:sz w:val="24"/>
          <w:szCs w:val="24"/>
        </w:rPr>
      </w:pPr>
      <w:commentRangeStart w:id="1"/>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עא</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A">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שנשאלתי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מרעיתו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שנתביישה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מכתר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נתאחרתי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שרציתי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לחקור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מומחים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חתני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טענדלער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שמוסיפים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שקוראים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בוסטער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להשקיט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פאפי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ונתעברה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אבהתא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וממילא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B">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בהגהת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ליזהר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מלשכוב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אסדינים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חזינן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להתעבר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שהולד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מפורש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גזירה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מאביו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סק</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נכרי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שהולד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יחוס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להאב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הנכרי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מאמבטי</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להסוברים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דמזרע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ממזר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ביאה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שפשוט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שיטתו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נגד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וסוברין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לשיטתו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ולכן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להתיר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בשעת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הדחק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גדול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ומצטערים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מאד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בהשתוקקם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לולד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לזרוק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להאשה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במעיה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זרע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נכרי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דוקא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ומסתבר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שבהמדינה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ביחוד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מיעוטא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דמיעוטא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C">
      <w:pPr>
        <w:bidi w:val="1"/>
        <w:spacing w:after="0" w:line="240" w:lineRule="auto"/>
        <w:jc w:val="both"/>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ולפעמים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שהרופא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יזרוק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בשפופרת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להוציא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משמוש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שמוציאין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הרופאים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לצורך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ביבמות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במשמוש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ובכלים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ישמעאל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ניאוף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ואיסור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ולהוליד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הותרו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והוצרכו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חמימא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פוקרי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ומותר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דבעובדא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מבפנים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ולזרות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מבחוץ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ובכאן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אדרבה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שתתעבר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לבטלה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ומותר</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בהכיסים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שילבש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תשמיש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בהכיס</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שתתעבר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p w:rsidR="00000000" w:rsidDel="00000000" w:rsidP="00000000" w:rsidRDefault="00000000" w:rsidRPr="00000000" w14:paraId="0000000D">
      <w:pPr>
        <w:bidi w:val="1"/>
        <w:rPr/>
      </w:pPr>
      <w:r w:rsidDel="00000000" w:rsidR="00000000" w:rsidRPr="00000000">
        <w:rPr>
          <w:color w:val="00796b"/>
        </w:rPr>
        <w:drawing>
          <wp:inline distB="114300" distT="114300" distL="114300" distR="114300">
            <wp:extent cx="5943600" cy="1064895"/>
            <wp:effectExtent b="0" l="0" r="0" t="0"/>
            <wp:docPr id="1" name="image1.png"/>
            <a:graphic>
              <a:graphicData uri="http://schemas.openxmlformats.org/drawingml/2006/picture">
                <pic:pic>
                  <pic:nvPicPr>
                    <pic:cNvPr id="0" name="image1.png"/>
                    <pic:cNvPicPr preferRelativeResize="0"/>
                  </pic:nvPicPr>
                  <pic:blipFill>
                    <a:blip r:embed="rId7"/>
                    <a:srcRect b="0" l="0" r="0" t="39239"/>
                    <a:stretch>
                      <a:fillRect/>
                    </a:stretch>
                  </pic:blipFill>
                  <pic:spPr>
                    <a:xfrm>
                      <a:off x="0" y="0"/>
                      <a:ext cx="5943600" cy="1064895"/>
                    </a:xfrm>
                    <a:prstGeom prst="rect"/>
                    <a:ln/>
                  </pic:spPr>
                </pic:pic>
              </a:graphicData>
            </a:graphic>
          </wp:inline>
        </w:drawing>
      </w:r>
      <w:r w:rsidDel="00000000" w:rsidR="00000000" w:rsidRPr="00000000">
        <w:rPr>
          <w:rtl w:val="0"/>
        </w:rPr>
        <w:t xml:space="preserve">cnn.com</w:t>
      </w:r>
    </w:p>
    <w:p w:rsidR="00000000" w:rsidDel="00000000" w:rsidP="00000000" w:rsidRDefault="00000000" w:rsidRPr="00000000" w14:paraId="0000000E">
      <w:pPr>
        <w:spacing w:after="0" w:before="0" w:line="240" w:lineRule="auto"/>
        <w:jc w:val="both"/>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0F">
      <w:pPr>
        <w:bidi w:val="1"/>
        <w:rPr>
          <w:rFonts w:ascii="David Libre" w:cs="David Libre" w:eastAsia="David Libre" w:hAnsi="David Libre"/>
          <w:b w:val="1"/>
        </w:rPr>
      </w:pPr>
      <w:r w:rsidDel="00000000" w:rsidR="00000000" w:rsidRPr="00000000">
        <w:rPr/>
        <w:drawing>
          <wp:inline distB="114300" distT="114300" distL="114300" distR="114300">
            <wp:extent cx="4448175" cy="1811655"/>
            <wp:effectExtent b="0" l="0" r="0" t="0"/>
            <wp:docPr id="2" name="image2.png"/>
            <a:graphic>
              <a:graphicData uri="http://schemas.openxmlformats.org/drawingml/2006/picture">
                <pic:pic>
                  <pic:nvPicPr>
                    <pic:cNvPr id="0" name="image2.png"/>
                    <pic:cNvPicPr preferRelativeResize="0"/>
                  </pic:nvPicPr>
                  <pic:blipFill>
                    <a:blip r:embed="rId8"/>
                    <a:srcRect b="14708" l="0" r="0" t="0"/>
                    <a:stretch>
                      <a:fillRect/>
                    </a:stretch>
                  </pic:blipFill>
                  <pic:spPr>
                    <a:xfrm>
                      <a:off x="0" y="0"/>
                      <a:ext cx="4448175" cy="181165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0" w:before="0"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Rabbi Ovadia Yosef (20th century Israel), Yabia Omer 8:Even haEzer 21:7</w:t>
      </w:r>
    </w:p>
    <w:p w:rsidR="00000000" w:rsidDel="00000000" w:rsidP="00000000" w:rsidRDefault="00000000" w:rsidRPr="00000000" w14:paraId="00000011">
      <w:pPr>
        <w:spacing w:after="0" w:before="0" w:line="240"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In conclusion, regarding a baby developed in a lab (IVF), it appears that his status is the same as that which the latter-day sages permitted regarding inserting a husband’s seed into a woman’s womb, when there is no way for the woman to conceive in the normal manner. And one must supervise closely, lest the husband’s seed be switched for the seed of another. It would be good to have two religiously observant doctors provide full supervision, from the time the seed is produced until it is put into the womb.</w:t>
      </w:r>
    </w:p>
    <w:p w:rsidR="00000000" w:rsidDel="00000000" w:rsidP="00000000" w:rsidRDefault="00000000" w:rsidRPr="00000000" w14:paraId="00000012">
      <w:pPr>
        <w:bidi w:val="1"/>
        <w:spacing w:after="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3">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p>
    <w:p w:rsidR="00000000" w:rsidDel="00000000" w:rsidP="00000000" w:rsidRDefault="00000000" w:rsidRPr="00000000" w14:paraId="00000014">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יכניסו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בשפופרת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ויצא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כשתוליד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נתעברה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באמבטי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b w:val="1"/>
          <w:sz w:val="24"/>
          <w:szCs w:val="24"/>
          <w:rtl w:val="1"/>
        </w:rPr>
        <w:t xml:space="preserve">מנ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ח</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הבנים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אמבטי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בפשיטות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כהמנ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שנצטוה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וחיוב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לבעול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גמורה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להוליד</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5">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6">
      <w:pPr>
        <w:bidi w:val="1"/>
        <w:spacing w:after="0" w:line="240" w:lineRule="auto"/>
        <w:jc w:val="both"/>
        <w:rPr>
          <w:rFonts w:ascii="David Libre" w:cs="David Libre" w:eastAsia="David Libre" w:hAnsi="David Libre"/>
          <w:b w:val="1"/>
          <w:sz w:val="24"/>
          <w:szCs w:val="24"/>
        </w:rPr>
      </w:pPr>
      <w:commentRangeStart w:id="2"/>
      <w:r w:rsidDel="00000000" w:rsidR="00000000" w:rsidRPr="00000000">
        <w:rPr>
          <w:rFonts w:ascii="David Libre" w:cs="David Libre" w:eastAsia="David Libre" w:hAnsi="David Libre"/>
          <w:b w:val="1"/>
          <w:sz w:val="24"/>
          <w:szCs w:val="24"/>
          <w:rtl w:val="1"/>
        </w:rPr>
        <w:t xml:space="preserve">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אשר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וייס</w:t>
      </w:r>
      <w:r w:rsidDel="00000000" w:rsidR="00000000" w:rsidRPr="00000000">
        <w:rPr>
          <w:rFonts w:ascii="David Libre" w:cs="David Libre" w:eastAsia="David Libre" w:hAnsi="David Libre"/>
          <w:b w:val="1"/>
          <w:sz w:val="24"/>
          <w:szCs w:val="24"/>
          <w:rtl w:val="1"/>
        </w:rPr>
        <w:t xml:space="preserve"> - </w:t>
      </w:r>
      <w:hyperlink r:id="rId9">
        <w:r w:rsidDel="00000000" w:rsidR="00000000" w:rsidRPr="00000000">
          <w:rPr>
            <w:rFonts w:ascii="David Libre" w:cs="David Libre" w:eastAsia="David Libre" w:hAnsi="David Libre"/>
            <w:b w:val="1"/>
            <w:sz w:val="24"/>
            <w:szCs w:val="24"/>
            <w:rtl w:val="0"/>
          </w:rPr>
          <w:t xml:space="preserve">https://en.tvunah.org/2013/12/29/triple-parent-ivf</w:t>
        </w:r>
      </w:hyperlink>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המיטוקונדריה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היילוד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לכהונה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הארכתי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ביצית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מתייחס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שתרמה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הביצית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מתייחס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שברחמה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והתפתח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לידה</w:t>
      </w:r>
      <w:r w:rsidDel="00000000" w:rsidR="00000000" w:rsidRPr="00000000">
        <w:rPr>
          <w:rFonts w:ascii="David Libre" w:cs="David Libre" w:eastAsia="David Libre" w:hAnsi="David Libre"/>
          <w:sz w:val="24"/>
          <w:szCs w:val="24"/>
          <w:rtl w:val="1"/>
        </w:rPr>
        <w:t xml:space="preserve">. </w:t>
        <w:tab/>
        <w:tab/>
      </w:r>
      <w:r w:rsidDel="00000000" w:rsidR="00000000" w:rsidRPr="00000000">
        <w:rPr>
          <w:rFonts w:ascii="David Libre" w:cs="David Libre" w:eastAsia="David Libre" w:hAnsi="David Libre"/>
          <w:sz w:val="24"/>
          <w:szCs w:val="24"/>
          <w:u w:val="single"/>
          <w:rtl w:val="1"/>
        </w:rPr>
        <w:t xml:space="preserve">וכתבתי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דהוראת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מרנן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ורבנן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הגרש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אוירבך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והגרי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אלישיב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זצ</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ונכון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להכריע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לגייר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הולד</w:t>
      </w:r>
      <w:r w:rsidDel="00000000" w:rsidR="00000000" w:rsidRPr="00000000">
        <w:rPr>
          <w:rFonts w:ascii="David Libre" w:cs="David Libre" w:eastAsia="David Libre" w:hAnsi="David Libre"/>
          <w:sz w:val="24"/>
          <w:szCs w:val="24"/>
          <w:rtl w:val="1"/>
        </w:rPr>
        <w:t xml:space="preserve">.</w:t>
        <w:tab/>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דבני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העצום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התורשתי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בגרעין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הביצית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היהודייה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כאלפית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בחלק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הלקוח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התורמת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הנכרייה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מסתבר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דאזלינן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והעיקר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והולד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הולד</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וכבר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גליתי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שהתקדמות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והטכנולוגיה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מציבה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בפנינו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חמורות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שערום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אבותינו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בידינו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לפותרן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ודורינו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הרמב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והרשב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להכריע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בשאלות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חמורות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בדימוי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מילתא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למילתא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דיתמי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וכאצבע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מוצאים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ורגלנו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tab/>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להשתדל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ולהתאמץ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סתירה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ומיעוט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מכריע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המיעוט</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בתערובת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והיתר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להכריע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u w:val="single"/>
          <w:rtl w:val="1"/>
        </w:rPr>
        <w:t xml:space="preserve">האם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שכמעט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הגנטי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מעצמה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ההלכה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והולד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מתייחס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tab/>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להתווכח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הגנטי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שבקליפת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הביצית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מרכיב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w:t>
      </w:r>
      <w:r w:rsidDel="00000000" w:rsidR="00000000" w:rsidRPr="00000000">
        <w:rPr>
          <w:rFonts w:ascii="David Libre" w:cs="David Libre" w:eastAsia="David Libre" w:hAnsi="David Libre"/>
          <w:sz w:val="24"/>
          <w:szCs w:val="24"/>
          <w:rtl w:val="1"/>
        </w:rPr>
        <w:t xml:space="preserve">.</w:t>
        <w:tab/>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בעיני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ופשוט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מבחינת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ההלכה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אמהות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להכריע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שבעיקרים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ולהתעלם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שבטפלים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ואעפ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לגייר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הולד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לחומרא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המשפחה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דבעניני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האפשרי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מגיירים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הרחוק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ההלכות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כהונה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ומשו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לגיירו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בצנעא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פרסום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כחוכא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ואטלולא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ולמכשלה</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p>
    <w:sectPr>
      <w:footerReference r:id="rId10" w:type="default"/>
      <w:pgSz w:h="15840" w:w="12240"/>
      <w:pgMar w:bottom="863.9999999999999" w:top="863.9999999999999" w:left="863.9999999999999" w:right="863.999999999999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1" w:date="2019-10-26T19:41:34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דברי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יואל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קז</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קח</w:t>
      </w:r>
    </w:p>
  </w:comment>
  <w:comment w:author="Dani Schreiber" w:id="0" w:date="2019-10-24T15:00:22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Mamzerus (IVF and IUI)</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Fatherhood - kohen, relationship</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Inheritance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Yibum and Chalitza?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Kibbud av va'em/shiva</w:t>
      </w:r>
    </w:p>
  </w:comment>
  <w:comment w:author="Dani Schreiber" w:id="2" w:date="2019-10-24T18:06:35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Mitochondria are tiny energy generators inside cells, containing their own little bit of DNA, which is separate to the genetic material held in the nucleus. They are present in the egg, but not in the sperm, and are passed down the female line, more or less unchanged, from mothers to all her offspring, and then from daughters to grandchildren and so on. In some cases, women can suffer from various mitochondrial disorders, which they are at risk of then passing on to their children. These disorders may be relatively mild, but in perhaps 5 – 10 cases a year in the UK, babies will be born with very serious disease.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new proposed techniques whereby the inheritance of faulty mitochondrial DNA could be avoided by a specific type of IVF called three parent IVF. There are a couple of ways of doing the new procedures, but essentially the new proposed techniques take the egg of an affected woman and remove the nuclear DNA (the vast majority of our DNA which goes to shape our basic features). A donated egg is also taken from another women, its nuclear DNA removed, leaving behind the healthy mitochondrial DNA. The nuclear DNA of the affected woman is then transplanted into the body of the healthy egg, resulting in an egg which has the DNA of the affected woman, minus her tiny fraction of unwanted ‘faulty’ mitochondrial DNA concerned. It means a baby would have genetic information from mum, dad and a second woman’s mitochondria. The technique being proposed might alter just 0.1 percent of an embryo’s DNA, but the affect on that potential life is enormous as mitochondria works in every single cell in the human body to produce energy. In the UK the Human Fertilisation and Embryology Authority (HFEA) has advised the government that there is no evidence the advanced forms of IVF were unsafe and once approved by parliament this technique may be used in all fertility clinics throughout the UK in the coming months.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s://en.tvunah.org/2013/12/29/triple-parent-iv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