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spacing w:after="0" w:line="240" w:lineRule="auto"/>
        <w:contextualSpacing w:val="0"/>
        <w:jc w:val="both"/>
        <w:rPr/>
      </w:pPr>
      <w:bookmarkStart w:colFirst="0" w:colLast="0" w:name="_xrk3bufbruun" w:id="0"/>
      <w:bookmarkEnd w:id="0"/>
      <w:r w:rsidDel="00000000" w:rsidR="00000000" w:rsidRPr="00000000">
        <w:rPr>
          <w:rtl w:val="0"/>
        </w:rPr>
        <w:t xml:space="preserve">Are there discrepancies?</w:t>
      </w:r>
    </w:p>
    <w:p w:rsidR="00000000" w:rsidDel="00000000" w:rsidP="00000000" w:rsidRDefault="00000000" w:rsidRPr="00000000">
      <w:pPr>
        <w:spacing w:after="0" w:line="240" w:lineRule="auto"/>
        <w:contextualSpacing w:val="0"/>
        <w:jc w:val="both"/>
        <w:rPr>
          <w:rFonts w:ascii="David Libre" w:cs="David Libre" w:eastAsia="David Libre" w:hAnsi="David Libre"/>
          <w:sz w:val="20"/>
          <w:szCs w:val="20"/>
        </w:rPr>
      </w:pPr>
      <w:r w:rsidDel="00000000" w:rsidR="00000000" w:rsidRPr="00000000">
        <w:rPr>
          <w:rFonts w:ascii="David Libre" w:cs="David Libre" w:eastAsia="David Libre" w:hAnsi="David Libre"/>
          <w:b w:val="1"/>
          <w:sz w:val="20"/>
          <w:szCs w:val="20"/>
          <w:rtl w:val="0"/>
        </w:rPr>
        <w:t xml:space="preserve">Principle VIII. That the Torah is from heaven [God]</w:t>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b w:val="1"/>
          <w:rtl w:val="0"/>
        </w:rPr>
        <w:t xml:space="preserve">And this is that you believe that all of this Torah that was given by </w:t>
      </w:r>
      <w:commentRangeStart w:id="0"/>
      <w:r w:rsidDel="00000000" w:rsidR="00000000" w:rsidRPr="00000000">
        <w:rPr>
          <w:rFonts w:ascii="David Libre" w:cs="David Libre" w:eastAsia="David Libre" w:hAnsi="David Libre"/>
          <w:b w:val="1"/>
          <w:rtl w:val="0"/>
        </w:rPr>
        <w:t xml:space="preserve">Moses our teacher</w:t>
      </w:r>
      <w:commentRangeEnd w:id="0"/>
      <w:r w:rsidDel="00000000" w:rsidR="00000000" w:rsidRPr="00000000">
        <w:commentReference w:id="0"/>
      </w:r>
      <w:r w:rsidDel="00000000" w:rsidR="00000000" w:rsidRPr="00000000">
        <w:rPr>
          <w:rFonts w:ascii="David Libre" w:cs="David Libre" w:eastAsia="David Libre" w:hAnsi="David Libre"/>
          <w:b w:val="1"/>
          <w:rtl w:val="0"/>
        </w:rPr>
        <w:t xml:space="preserve">, peace be upon him, that it is all from the mouth of God.</w:t>
      </w:r>
      <w:r w:rsidDel="00000000" w:rsidR="00000000" w:rsidRPr="00000000">
        <w:rPr>
          <w:rFonts w:ascii="David Libre" w:cs="David Libre" w:eastAsia="David Libre" w:hAnsi="David Libre"/>
          <w:rtl w:val="0"/>
        </w:rPr>
        <w:t xml:space="preserve"> Meaning that it was received by him entirely from God. And it is not known how Moses received it except by Moses himself, peace be upon him, that it came to him. That he was like a stenographer that you read to him and he writes all that is told to him: all the events and dates, the stories, and all the commandments. There is no difference between “And the sons of Cham were Kush, and Mitzraim, and his wife was Mehatbe’el” and “Timnah was his concubine” and “I am Hashem your God” and “Hear Israel [Hashem your God, Hashem is one]” for it was all given by God. And it is all Hashem’s perfect Torah; pure, holy, and true. </w:t>
      </w:r>
      <w:r w:rsidDel="00000000" w:rsidR="00000000" w:rsidRPr="00000000">
        <w:rPr>
          <w:rFonts w:ascii="David Libre" w:cs="David Libre" w:eastAsia="David Libre" w:hAnsi="David Libre"/>
          <w:b w:val="1"/>
          <w:rtl w:val="0"/>
        </w:rPr>
        <w:t xml:space="preserve">And he who says that these verses or stories, Moses made them up, he is a denier of our sages and prophets worse than all other types of deniers [form of heretic] for he thinks that what is in the Torah is from man’s flawed heart and the questions and statements and the dates and stories are of no value for they are from Moses Rabbeinu, peace be upon him</w:t>
      </w:r>
      <w:r w:rsidDel="00000000" w:rsidR="00000000" w:rsidRPr="00000000">
        <w:rPr>
          <w:rFonts w:ascii="David Libre" w:cs="David Libre" w:eastAsia="David Libre" w:hAnsi="David Libre"/>
          <w:rtl w:val="0"/>
        </w:rPr>
        <w:t xml:space="preserve">. And this area is that he believes the Torah is not from heaven. And on this our sages of blessed memory said, “he who believes that the Torah is from heaven except this verse that God did not say it but rather Moses himself did [he is a denier of all the Torah].” And this that God spoke this and that, each and every statement in the Torah, is from God and it is full of wisdom (each statement) and benefit to those who understand them. </w:t>
      </w:r>
    </w:p>
    <w:p w:rsidR="00000000" w:rsidDel="00000000" w:rsidP="00000000" w:rsidRDefault="00000000" w:rsidRPr="00000000">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Kiddushin 30a</w:t>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The early [scholars] were called soferim because they used to count all the letters of the Torah. Thus, they said, the waw in ‘gahon’ marks half the letters of the Torah; ‘darosh darash’, half the words; ‘we-hithggalah’, half the verses. The boar out of the wood [mi-ya'ar] doth ravage it: the ‘ayin of ya'ar marks half of the Psalms. But ‘he, being full of compassion, forgiveth their iniquity’, half of the verses. R. Joseph propounded: Does the waw of gahon belong to the first half or the second? Said they [the scholars] to him, Let a Scroll of the Torah be brought and we will count them! Did not Rabbah b. Bar Hanah say, ‘They did not stir from there until a Scroll of the Torah was brought and they counted them?’ — </w:t>
      </w:r>
      <w:r w:rsidDel="00000000" w:rsidR="00000000" w:rsidRPr="00000000">
        <w:rPr>
          <w:rFonts w:ascii="David Libre" w:cs="David Libre" w:eastAsia="David Libre" w:hAnsi="David Libre"/>
          <w:b w:val="1"/>
          <w:rtl w:val="0"/>
        </w:rPr>
        <w:t xml:space="preserve">They were thoroughly versed in the defective and full readings, but we are not</w:t>
      </w:r>
      <w:r w:rsidDel="00000000" w:rsidR="00000000" w:rsidRPr="00000000">
        <w:rPr>
          <w:rFonts w:ascii="David Libre" w:cs="David Libre" w:eastAsia="David Libre" w:hAnsi="David Libre"/>
          <w:rtl w:val="0"/>
        </w:rPr>
        <w:t xml:space="preserve">. R. Joseph propounded: Does wehithgalah belong to the first half or the second? Said Abaye to him, ‘For the verses, at least, we can bring [a Scroll] and count them!’ — In the verses too we are not certain. For when R. Aha b. Adda came, he said: ‘In the West [Palestine] the following verse is divided into three: And the Lord said unto Moses, Lo, I come unto thee in a thick cloud [etc.].’ Our Rabbis taught: There are five thousand, eight hundred and eighty-eight verses in the Torah; the Psalms exceed this by eight; while Chronicles are less by eight.</w:t>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commentRangeStart w:id="1"/>
      <w:r w:rsidDel="00000000" w:rsidR="00000000" w:rsidRPr="00000000">
        <w:rPr>
          <w:rFonts w:ascii="David Libre" w:cs="David Libre" w:eastAsia="David Libre" w:hAnsi="David Libre"/>
          <w:b w:val="1"/>
          <w:rtl w:val="0"/>
        </w:rPr>
        <w:t xml:space="preserve">Talmud Yerushalmi, Taanit 4:2</w:t>
      </w:r>
      <w:commentRangeEnd w:id="1"/>
      <w:r w:rsidDel="00000000" w:rsidR="00000000" w:rsidRPr="00000000">
        <w:commentReference w:id="1"/>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Three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Temple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court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מעוני</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זעטוטי</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היאץ</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מעון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אלהי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קדם</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מעונה</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Deut</w:t>
      </w:r>
      <w:r w:rsidDel="00000000" w:rsidR="00000000" w:rsidRPr="00000000">
        <w:rPr>
          <w:rFonts w:ascii="David Libre" w:cs="David Libre" w:eastAsia="David Libre" w:hAnsi="David Libre"/>
          <w:rtl w:val="0"/>
        </w:rPr>
        <w:t xml:space="preserve">. 33:27),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upheld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set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aside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nine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times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היא</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eleven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times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היא</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upheld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set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aside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w:t>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commentRangeStart w:id="2"/>
      <w:r w:rsidDel="00000000" w:rsidR="00000000" w:rsidRPr="00000000">
        <w:rPr>
          <w:rFonts w:ascii="David Libre" w:cs="David Libre" w:eastAsia="David Libre" w:hAnsi="David Libre"/>
          <w:b w:val="1"/>
          <w:rtl w:val="0"/>
        </w:rPr>
        <w:t xml:space="preserve">Radak</w:t>
      </w:r>
      <w:commentRangeEnd w:id="2"/>
      <w:r w:rsidDel="00000000" w:rsidR="00000000" w:rsidRPr="00000000">
        <w:commentReference w:id="2"/>
      </w:r>
      <w:r w:rsidDel="00000000" w:rsidR="00000000" w:rsidRPr="00000000">
        <w:rPr>
          <w:rFonts w:ascii="David Libre" w:cs="David Libre" w:eastAsia="David Libre" w:hAnsi="David Libre"/>
          <w:b w:val="1"/>
          <w:rtl w:val="0"/>
        </w:rPr>
        <w:t xml:space="preserve">, Introduction to Prophets</w:t>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These variant words apparently developed because during the First Exile, the texts were lost, the scholars were dispersed, and the Torah scholars died. The Men of the Great Assembly who restored the Torah to its former state found differences in the texts and followed the readings of those which they believed to be in the majority. When they were unclear about this, they wrote one version without pointing it, or they wrote it in the margin and not in the text, or they wrote one version in the margin and one version in the text.</w:t>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1"/>
        </w:rPr>
        <w:t xml:space="preserve">מאירי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קרית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ספר</w:t>
      </w:r>
    </w:p>
    <w:p w:rsidR="00000000" w:rsidDel="00000000" w:rsidP="00000000" w:rsidRDefault="00000000" w:rsidRPr="00000000">
      <w:pPr>
        <w:bidi w:val="1"/>
        <w:spacing w:after="0" w:line="240" w:lineRule="auto"/>
        <w:contextualSpacing w:val="0"/>
        <w:jc w:val="both"/>
        <w:rPr>
          <w:rFonts w:ascii="David Libre" w:cs="David Libre" w:eastAsia="David Libre" w:hAnsi="David Libre"/>
        </w:rPr>
      </w:pPr>
      <w:r w:rsidDel="00000000" w:rsidR="00000000" w:rsidRPr="00000000">
        <w:rPr>
          <w:rtl w:val="0"/>
        </w:rPr>
      </w:r>
      <w:r w:rsidDel="00000000" w:rsidR="00000000" w:rsidRPr="00000000">
        <w:rPr>
          <w:rFonts w:ascii="Arial" w:cs="Arial" w:eastAsia="Arial" w:hAnsi="Arial"/>
          <w:color w:val="0077ff"/>
          <w:highlight w:val="white"/>
          <w:rtl w:val="1"/>
        </w:rPr>
        <w:t xml:space="preserve">"...</w:t>
      </w:r>
      <w:r w:rsidDel="00000000" w:rsidR="00000000" w:rsidRPr="00000000">
        <w:rPr>
          <w:rFonts w:ascii="Arial" w:cs="Arial" w:eastAsia="Arial" w:hAnsi="Arial"/>
          <w:color w:val="0077ff"/>
          <w:highlight w:val="white"/>
          <w:rtl w:val="1"/>
        </w:rPr>
        <w:t xml:space="preserve">שבזמן</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הגלויות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אבדו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הספרים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ונטלטלו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החכמים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והבקיאים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במקראות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ספו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תמו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אנשי</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כנה</w:t>
      </w:r>
      <w:r w:rsidDel="00000000" w:rsidR="00000000" w:rsidRPr="00000000">
        <w:rPr>
          <w:rFonts w:ascii="Arial" w:cs="Arial" w:eastAsia="Arial" w:hAnsi="Arial"/>
          <w:color w:val="0077ff"/>
          <w:highlight w:val="white"/>
          <w:rtl w:val="1"/>
        </w:rPr>
        <w:t xml:space="preserve">"</w:t>
      </w:r>
      <w:r w:rsidDel="00000000" w:rsidR="00000000" w:rsidRPr="00000000">
        <w:rPr>
          <w:rFonts w:ascii="Arial" w:cs="Arial" w:eastAsia="Arial" w:hAnsi="Arial"/>
          <w:color w:val="0077ff"/>
          <w:highlight w:val="white"/>
          <w:rtl w:val="1"/>
        </w:rPr>
        <w:t xml:space="preserve">ג</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ואמץ</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השם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לבבם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להחזיר</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תורה</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ליושנה</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מצאו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מחלוקת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בין</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הספרים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והלכו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בהם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אחרי</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הרוב</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וכאשר</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לא</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השיגה</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יד</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שכלם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כתבוהו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בדרך</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אחד</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וקראוהו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בדרך</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אחרת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וכתבו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הכתיב</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בפנים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והקרי</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בחוץ</w:t>
      </w:r>
      <w:r w:rsidDel="00000000" w:rsidR="00000000" w:rsidRPr="00000000">
        <w:rPr>
          <w:rFonts w:ascii="Arial" w:cs="Arial" w:eastAsia="Arial" w:hAnsi="Arial"/>
          <w:color w:val="0077ff"/>
          <w:highlight w:val="white"/>
          <w:rtl w:val="1"/>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commentRangeStart w:id="3"/>
      <w:r w:rsidDel="00000000" w:rsidR="00000000" w:rsidRPr="00000000">
        <w:rPr>
          <w:rFonts w:ascii="David Libre" w:cs="David Libre" w:eastAsia="David Libre" w:hAnsi="David Libre"/>
          <w:b w:val="1"/>
          <w:rtl w:val="0"/>
        </w:rPr>
        <w:t xml:space="preserve">Nedarim (Bavli) 37b</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R</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Isaac</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said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textual</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reading</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transmitted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Soferim</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their</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stylistic</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embellishments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תקוני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סופרים</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words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read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text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but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not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קרי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וכתיב</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words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but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omitted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reading</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b w:val="1"/>
          <w:rtl w:val="0"/>
        </w:rPr>
        <w:t xml:space="preserve">are all halachah from Moses at Sinai</w:t>
      </w:r>
      <w:r w:rsidDel="00000000" w:rsidR="00000000" w:rsidRPr="00000000">
        <w:rPr>
          <w:rFonts w:ascii="David Libre" w:cs="David Libre" w:eastAsia="David Libre" w:hAnsi="David Libre"/>
          <w:rtl w:val="0"/>
        </w:rPr>
        <w:t xml:space="preserve">.  By textual reading is meant words as erez, shamayim, mizraim.  </w:t>
      </w:r>
      <w:commentRangeStart w:id="4"/>
      <w:r w:rsidDel="00000000" w:rsidR="00000000" w:rsidRPr="00000000">
        <w:rPr>
          <w:rFonts w:ascii="David Libre" w:cs="David Libre" w:eastAsia="David Libre" w:hAnsi="David Libre"/>
          <w:rtl w:val="0"/>
        </w:rPr>
        <w:t xml:space="preserve">Stylistic embellishments</w:t>
      </w:r>
      <w:commentRangeEnd w:id="4"/>
      <w:r w:rsidDel="00000000" w:rsidR="00000000" w:rsidRPr="00000000">
        <w:commentReference w:id="4"/>
      </w:r>
      <w:r w:rsidDel="00000000" w:rsidR="00000000" w:rsidRPr="00000000">
        <w:rPr>
          <w:rFonts w:ascii="David Libre" w:cs="David Libre" w:eastAsia="David Libre" w:hAnsi="David Libre"/>
          <w:rtl w:val="0"/>
        </w:rPr>
        <w:t xml:space="preserve">: e.g., ‘</w:t>
      </w:r>
      <w:commentRangeStart w:id="5"/>
      <w:r w:rsidDel="00000000" w:rsidR="00000000" w:rsidRPr="00000000">
        <w:rPr>
          <w:rFonts w:ascii="David Libre" w:cs="David Libre" w:eastAsia="David Libre" w:hAnsi="David Libre"/>
          <w:rtl w:val="0"/>
        </w:rPr>
        <w:t xml:space="preserve">after that ye shall pass on</w:t>
      </w:r>
      <w:commentRangeEnd w:id="5"/>
      <w:r w:rsidDel="00000000" w:rsidR="00000000" w:rsidRPr="00000000">
        <w:commentReference w:id="5"/>
      </w:r>
      <w:r w:rsidDel="00000000" w:rsidR="00000000" w:rsidRPr="00000000">
        <w:rPr>
          <w:rFonts w:ascii="David Libre" w:cs="David Libre" w:eastAsia="David Libre" w:hAnsi="David Libre"/>
          <w:rtl w:val="0"/>
        </w:rPr>
        <w:t xml:space="preserve">.’  </w:t>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commentRangeStart w:id="6"/>
      <w:r w:rsidDel="00000000" w:rsidR="00000000" w:rsidRPr="00000000">
        <w:rPr>
          <w:rFonts w:ascii="David Libre" w:cs="David Libre" w:eastAsia="David Libre" w:hAnsi="David Libre"/>
          <w:b w:val="1"/>
          <w:rtl w:val="0"/>
        </w:rPr>
        <w:t xml:space="preserve">Bemidbar Rabbah 3:13</w:t>
      </w:r>
      <w:commentRangeEnd w:id="6"/>
      <w:r w:rsidDel="00000000" w:rsidR="00000000" w:rsidRPr="00000000">
        <w:commentReference w:id="6"/>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Wherefore are the dots? Thus said Ezra: “If Elijah will come and say, Why have you written these words? I shall say to him: I have already put dots over them. And if he will say, thou hast written well, I shall remove the dots over them.</w:t>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קיד</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בחסירות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ויתירות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בקידושין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שבשביל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חסירות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ויתירות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כשליכא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שינוי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בהענין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ובמבטא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מוציאין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אחרת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מחקתי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ברייתא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באדר</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נ</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גירסא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מוטעת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נקדתי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אעביר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טעות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שכתיבת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התיבות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שייך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שישאלו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הגבורה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והמוחקן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שאותיות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שתרוייהו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לכותבן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הנקודה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commentRangeStart w:id="7"/>
      <w:r w:rsidDel="00000000" w:rsidR="00000000" w:rsidRPr="00000000">
        <w:rPr>
          <w:rFonts w:ascii="David Libre" w:cs="David Libre" w:eastAsia="David Libre" w:hAnsi="David Libre"/>
          <w:b w:val="1"/>
          <w:sz w:val="24"/>
          <w:szCs w:val="24"/>
          <w:rtl w:val="1"/>
        </w:rPr>
        <w:t xml:space="preserve">רבי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עקיבא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איגר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commentRangeEnd w:id="7"/>
      <w:r w:rsidDel="00000000" w:rsidR="00000000" w:rsidRPr="00000000">
        <w:commentReference w:id="7"/>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מעבירם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והנושא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דהמסורת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מחולק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דויחל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סמוך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ויחל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ובפירש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הפילגשם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ובערכין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בתוספות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קריאת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קמג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ומתחילין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ומשלימין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במוטעה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באמצע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לאחריה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rtl w:val="1"/>
        </w:rPr>
        <w:t xml:space="preserve">הגה</w:t>
      </w:r>
      <w:r w:rsidDel="00000000" w:rsidR="00000000" w:rsidRPr="00000000">
        <w:rPr>
          <w:rtl w:val="0"/>
        </w:rPr>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ואם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קראו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עמו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ג</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פסוקים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ואפשר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להפסיק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פוסקים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ומברך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אחריה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ומשלימים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המנין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בספר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תורה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האחר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שמוציאין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מרדכי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דמגילה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b w:val="1"/>
          <w:rtl w:val="1"/>
        </w:rPr>
        <w:t xml:space="preserve">והא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דמוציאין</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אחר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דוקא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שנמצא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טעות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גמור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אבל</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משום</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חסירות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ויתרות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אין</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להוציא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אחר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שאין</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ספר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תורה</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שלנו</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מדוייקים</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כל</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כך</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שנאמר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שהאחרת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יהיה</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יותר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כשר</w:t>
      </w:r>
      <w:r w:rsidDel="00000000" w:rsidR="00000000" w:rsidRPr="00000000">
        <w:rPr>
          <w:rtl w:val="0"/>
        </w:rPr>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אגור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ופסקי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מהרי</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וריא</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ז</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ומהרי</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פסקו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להביא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אחרת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וב</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פסק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דצריך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להוציא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אחרת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לכן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צריך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לחלק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כך</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יחווה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נו</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התימנים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ולקרות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בברכה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ויהי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התימנים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ויהיו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שסמך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מסקנתו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שבתיקון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שקנאו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בעבורו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השינוי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שהתימנים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עושים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פתוחה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ואצלינו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שבקצת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להעביר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הקולמוס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המאירי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שנמשכו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איישר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ותפסו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שנכתבה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ומצאנו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פצוע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שאצלינו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דכה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בה</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התימנים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דכא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באל</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ף</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האשכנזים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כתוב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ף</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קדמונים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ף</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בשיורי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הכנסת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רלג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באלף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נפסל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אשכנזים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הספרדים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רבינו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אברהם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הרמב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חילוקים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הפתוחות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והסתומות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במעמדם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עזרה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לדקדק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הדבר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מסכימים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שיסתור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והנכון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לדקדק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אהבה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המאירי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בקידושין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בקיאינן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בחסרות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ויתרות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סומכים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תיקוני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שמצאו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המוחזקים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במדוייקים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ומתוך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להקל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לפסול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לסמוך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המדרשות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והמדרשות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הפילגשים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פילגשם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ואשימם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להכריע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למדת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להחמיר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לפסול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בשינוי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שספרי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התיקוני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סופרים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והמדרשות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מעידין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שנמצא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מחלוקת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ביניהם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הפתוחות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והסתומות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בקונטרס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מזכיר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שהבאתי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וכשמצאתי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תיקנתיו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להמאירי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שהגיעו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לידינו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מוטעים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והמעתיקים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להכריע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מדעתם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הוסיף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והשחיתו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שבחנם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מחקתי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והגהתי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קדמונים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להגהה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תקצץ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tbl>
      <w:tblPr>
        <w:tblStyle w:val="Table1"/>
        <w:tblW w:w="1101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646"/>
        <w:gridCol w:w="5370"/>
        <w:tblGridChange w:id="0">
          <w:tblGrid>
            <w:gridCol w:w="5646"/>
            <w:gridCol w:w="5370"/>
          </w:tblGrid>
        </w:tblGridChange>
      </w:tblGrid>
      <w:tr>
        <w:tc>
          <w:tcPr/>
          <w:p w:rsidR="00000000" w:rsidDel="00000000" w:rsidP="00000000" w:rsidRDefault="00000000" w:rsidRPr="00000000">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Zvi A. Yehuda, Hazon Ish on Textual Criticism and Halakhah, Tradition 20:2</w:t>
            </w:r>
          </w:p>
          <w:p w:rsidR="00000000" w:rsidDel="00000000" w:rsidP="00000000" w:rsidRDefault="00000000" w:rsidRPr="00000000">
            <w:pPr>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rPr>
              <w:drawing>
                <wp:inline distB="0" distT="0" distL="0" distR="0">
                  <wp:extent cx="3474740" cy="1415634"/>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474740" cy="1415634"/>
                          </a:xfrm>
                          <a:prstGeom prst="rect"/>
                          <a:ln/>
                        </pic:spPr>
                      </pic:pic>
                    </a:graphicData>
                  </a:graphic>
                </wp:inline>
              </w:drawing>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Pr>
              <w:drawing>
                <wp:inline distB="0" distT="0" distL="0" distR="0">
                  <wp:extent cx="3428894" cy="3795619"/>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428894" cy="3795619"/>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sz w:val="24"/>
                <w:szCs w:val="24"/>
              </w:rPr>
            </w:pPr>
            <w:r w:rsidDel="00000000" w:rsidR="00000000" w:rsidRPr="00000000">
              <w:rPr>
                <w:rtl w:val="0"/>
              </w:rPr>
            </w:r>
          </w:p>
        </w:tc>
        <w:tc>
          <w:tcPr/>
          <w:p w:rsidR="00000000" w:rsidDel="00000000" w:rsidP="00000000" w:rsidRDefault="00000000" w:rsidRPr="00000000">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Shnayer Z. Leiman </w:t>
            </w:r>
          </w:p>
          <w:p w:rsidR="00000000" w:rsidDel="00000000" w:rsidP="00000000" w:rsidRDefault="00000000" w:rsidRPr="00000000">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rPr>
              <w:drawing>
                <wp:inline distB="0" distT="0" distL="0" distR="0">
                  <wp:extent cx="3243398" cy="4093610"/>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243398" cy="409361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rPr>
              <w:drawing>
                <wp:inline distB="0" distT="0" distL="0" distR="0">
                  <wp:extent cx="3353303" cy="1048926"/>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353303" cy="1048926"/>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Authorship issues and the possibility of Post-Mosaic Authorship</w:t>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Devarim 34</w:t>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Moses went up from the steppes of Moab to Mount Nebo, to the summit of Pisgah, opposite Jericho, and the Lord showed him the whole land: Gilead as far as Dan;...</w:t>
      </w:r>
      <w:r w:rsidDel="00000000" w:rsidR="00000000" w:rsidRPr="00000000">
        <w:rPr>
          <w:rFonts w:ascii="David Libre" w:cs="David Libre" w:eastAsia="David Libre" w:hAnsi="David Libre"/>
          <w:b w:val="1"/>
          <w:vertAlign w:val="superscript"/>
          <w:rtl w:val="0"/>
        </w:rPr>
        <w:t xml:space="preserve">5</w:t>
      </w:r>
      <w:r w:rsidDel="00000000" w:rsidR="00000000" w:rsidRPr="00000000">
        <w:rPr>
          <w:rFonts w:ascii="David Libre" w:cs="David Libre" w:eastAsia="David Libre" w:hAnsi="David Libre"/>
          <w:rtl w:val="0"/>
        </w:rPr>
        <w:t xml:space="preserve">So Moses the servant of the Lord died there, in the land of Moab, at the command of the Lord. </w:t>
      </w:r>
      <w:r w:rsidDel="00000000" w:rsidR="00000000" w:rsidRPr="00000000">
        <w:rPr>
          <w:rFonts w:ascii="David Libre" w:cs="David Libre" w:eastAsia="David Libre" w:hAnsi="David Libre"/>
          <w:b w:val="1"/>
          <w:vertAlign w:val="superscript"/>
          <w:rtl w:val="0"/>
        </w:rPr>
        <w:t xml:space="preserve">6</w:t>
      </w:r>
      <w:r w:rsidDel="00000000" w:rsidR="00000000" w:rsidRPr="00000000">
        <w:rPr>
          <w:rFonts w:ascii="David Libre" w:cs="David Libre" w:eastAsia="David Libre" w:hAnsi="David Libre"/>
          <w:rtl w:val="0"/>
        </w:rPr>
        <w:t xml:space="preserve">He buried him in the valley in the land of Moab, near Beth-peor; and no one knows his burial place to this day. </w:t>
      </w:r>
      <w:r w:rsidDel="00000000" w:rsidR="00000000" w:rsidRPr="00000000">
        <w:rPr>
          <w:rFonts w:ascii="David Libre" w:cs="David Libre" w:eastAsia="David Libre" w:hAnsi="David Libre"/>
          <w:b w:val="1"/>
          <w:vertAlign w:val="superscript"/>
          <w:rtl w:val="0"/>
        </w:rPr>
        <w:t xml:space="preserve">7</w:t>
      </w:r>
      <w:r w:rsidDel="00000000" w:rsidR="00000000" w:rsidRPr="00000000">
        <w:rPr>
          <w:rFonts w:ascii="David Libre" w:cs="David Libre" w:eastAsia="David Libre" w:hAnsi="David Libre"/>
          <w:rtl w:val="0"/>
        </w:rPr>
        <w:t xml:space="preserve">Moses was a hundred and twenty years old when he died; his eyes were undimmed and his vigor unabated. </w:t>
      </w:r>
      <w:r w:rsidDel="00000000" w:rsidR="00000000" w:rsidRPr="00000000">
        <w:rPr>
          <w:rFonts w:ascii="David Libre" w:cs="David Libre" w:eastAsia="David Libre" w:hAnsi="David Libre"/>
          <w:b w:val="1"/>
          <w:vertAlign w:val="superscript"/>
          <w:rtl w:val="0"/>
        </w:rPr>
        <w:t xml:space="preserve">8</w:t>
      </w:r>
      <w:r w:rsidDel="00000000" w:rsidR="00000000" w:rsidRPr="00000000">
        <w:rPr>
          <w:rFonts w:ascii="David Libre" w:cs="David Libre" w:eastAsia="David Libre" w:hAnsi="David Libre"/>
          <w:rtl w:val="0"/>
        </w:rPr>
        <w:t xml:space="preserve">And the Israelites bewailed Moses in the steppes of Moab for thirty days...</w:t>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Bava Batra 15a</w:t>
      </w:r>
    </w:p>
    <w:p w:rsidR="00000000" w:rsidDel="00000000" w:rsidP="00000000" w:rsidRDefault="00000000" w:rsidRPr="00000000">
      <w:pPr>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Scriptures</w:t>
      </w:r>
      <w:r w:rsidDel="00000000" w:rsidR="00000000" w:rsidRPr="00000000">
        <w:rPr>
          <w:rFonts w:ascii="David Libre" w:cs="David Libre" w:eastAsia="David Libre" w:hAnsi="David Libre"/>
          <w:sz w:val="24"/>
          <w:szCs w:val="24"/>
          <w:rtl w:val="0"/>
        </w:rPr>
        <w:t xml:space="preserve">? —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portion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Balaam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Pentateuch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Samuel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Judges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Ruth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David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Psalms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including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elders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namely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Adam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Melchizedek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Abraham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Heman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Yeduthun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Asaph</w:t>
      </w: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three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Korah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Jeremiah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Kings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Lamentations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Hezekiah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colleagues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Isaiah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Proverbs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Songs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Ecclesiastes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Great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Assembly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Ezekiel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Twelve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Minor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Prophets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Daniel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Scroll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Esther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Ezra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genealogies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Chronicles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time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confirms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opinion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since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Ezra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leave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Babylon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Eretz</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Yisrael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until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genealogy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finished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Chronicles</w:t>
      </w:r>
      <w:r w:rsidDel="00000000" w:rsidR="00000000" w:rsidRPr="00000000">
        <w:rPr>
          <w:rFonts w:ascii="David Libre" w:cs="David Libre" w:eastAsia="David Libre" w:hAnsi="David Libre"/>
          <w:sz w:val="24"/>
          <w:szCs w:val="24"/>
          <w:rtl w:val="0"/>
        </w:rPr>
        <w:t xml:space="preserve">]? — </w:t>
      </w:r>
      <w:r w:rsidDel="00000000" w:rsidR="00000000" w:rsidRPr="00000000">
        <w:rPr>
          <w:rFonts w:ascii="David Libre" w:cs="David Libre" w:eastAsia="David Libre" w:hAnsi="David Libre"/>
          <w:sz w:val="24"/>
          <w:szCs w:val="24"/>
          <w:rtl w:val="0"/>
        </w:rPr>
        <w:t xml:space="preserve">Nehemiah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Hachaliah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Master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Pentateuch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statement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agreement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authority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taught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servant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Lord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Now</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possible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dead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could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words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truth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however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from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opinion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according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others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Nehemiah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Simeon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Can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imagine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scroll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Law</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short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Take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Law</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must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Holy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blessed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dictated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repeated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from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God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dictated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בדמע</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another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occasion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Baruch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answered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pronounced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all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these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words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mouth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these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two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authorities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followed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rule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Abba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Giddal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must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read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Synagogue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service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person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alone</w:t>
      </w:r>
      <w:r w:rsidDel="00000000" w:rsidR="00000000" w:rsidRPr="00000000">
        <w:rPr>
          <w:rFonts w:ascii="David Libre" w:cs="David Libre" w:eastAsia="David Libre" w:hAnsi="David Libre"/>
          <w:sz w:val="24"/>
          <w:szCs w:val="24"/>
          <w:rtl w:val="0"/>
        </w:rPr>
        <w:t xml:space="preserve">?  —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follows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Simeon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even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however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follows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Simeon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would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since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differ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from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rest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differ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another</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pPr>
        <w:spacing w:after="0" w:before="200" w:line="240" w:lineRule="auto"/>
        <w:contextualSpacing w:val="0"/>
        <w:jc w:val="both"/>
        <w:rPr>
          <w:rFonts w:ascii="David Libre" w:cs="David Libre" w:eastAsia="David Libre" w:hAnsi="David Libre"/>
          <w:b w:val="1"/>
          <w:color w:val="0000ff"/>
          <w:sz w:val="28"/>
          <w:szCs w:val="28"/>
          <w:u w:val="single"/>
          <w:shd w:fill="ffffe7" w:val="clear"/>
          <w:vertAlign w:val="superscript"/>
        </w:rPr>
      </w:pPr>
      <w:r w:rsidDel="00000000" w:rsidR="00000000" w:rsidRPr="00000000">
        <w:rPr>
          <w:rFonts w:ascii="David Libre" w:cs="David Libre" w:eastAsia="David Libre" w:hAnsi="David Libre"/>
          <w:sz w:val="24"/>
          <w:szCs w:val="24"/>
          <w:rtl w:val="0"/>
        </w:rPr>
        <w:t xml:space="preserve">[You say that] Joshua wrote his book. But is it not written, And Joshua son of Nun the servant of the Lord died?  — It was completed by Eleazar. But it is also written in it, And Eleazar the son of Aaron died?  — Phineas finished it. [You say that] Samuel wrote the book that bears his name. But is it not written in it, Now Samuel was dead?  — It was completed by Gad the seer and Nathan the prophet. [You say that] David wrote the Psalms, including work of the ten elders. Why is not Ethan the Ezrahite also reckoned with? — Ethan the Ezrahite is Abraham. [The proof is that] it is written in the Psalms, Ethan the Ezrahite,  and it is written elsewhere, </w:t>
      </w:r>
      <w:r w:rsidDel="00000000" w:rsidR="00000000" w:rsidRPr="00000000">
        <w:rPr>
          <w:rFonts w:ascii="David Libre" w:cs="David Libre" w:eastAsia="David Libre" w:hAnsi="David Libre"/>
          <w:sz w:val="24"/>
          <w:szCs w:val="24"/>
          <w:rtl w:val="0"/>
        </w:rPr>
        <w:t xml:space="preserve">Who hath raised up righteousness from the East</w:t>
      </w:r>
      <w:r w:rsidDel="00000000" w:rsidR="00000000" w:rsidRPr="00000000">
        <w:rPr>
          <w:rFonts w:ascii="David Libre" w:cs="David Libre" w:eastAsia="David Libre" w:hAnsi="David Libre"/>
          <w:sz w:val="24"/>
          <w:szCs w:val="24"/>
          <w:rtl w:val="0"/>
        </w:rPr>
        <w:t xml:space="preserve">.</w:t>
      </w:r>
      <w:r w:rsidDel="00000000" w:rsidR="00000000" w:rsidRPr="00000000">
        <w:fldChar w:fldCharType="begin"/>
        <w:instrText xml:space="preserve"> HYPERLINK "http://halakhah.com/bababathra/bababathra_15.html#15a_17" </w:instrText>
        <w:fldChar w:fldCharType="separate"/>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b w:val="1"/>
          <w:shd w:fill="ffffe7" w:val="clear"/>
        </w:rPr>
      </w:pPr>
      <w:r w:rsidDel="00000000" w:rsidR="00000000" w:rsidRPr="00000000">
        <w:fldChar w:fldCharType="end"/>
      </w: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עזרא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ויעל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הקודמים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להראב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בפשטי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שבאזני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מסתבכים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ומסתעפים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העכו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תקנו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וישתקע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ודומיהם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עיניך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מנגדם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וכאומרם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בדמע</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w:t>
      </w:r>
      <w:commentRangeStart w:id="8"/>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יט</w:t>
      </w:r>
      <w:r w:rsidDel="00000000" w:rsidR="00000000" w:rsidRPr="00000000">
        <w:rPr>
          <w:rFonts w:ascii="David Libre" w:cs="David Libre" w:eastAsia="David Libre" w:hAnsi="David Libre"/>
          <w:b w:val="1"/>
          <w:sz w:val="24"/>
          <w:szCs w:val="24"/>
          <w:rtl w:val="1"/>
        </w:rPr>
        <w:t xml:space="preserve"> </w:t>
      </w:r>
      <w:commentRangeEnd w:id="8"/>
      <w:r w:rsidDel="00000000" w:rsidR="00000000" w:rsidRPr="00000000">
        <w:commentReference w:id="8"/>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הפשט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שיכתבוה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וקורא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אברבנאל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טופסים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וישגרנה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ויזמר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לצוותו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שיעזור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תכבד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בחיי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לד</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לתמוה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וינאץ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מכעס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ובנותיו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בפסוקי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העתידות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נוהגין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עתיד</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tbl>
      <w:tblPr>
        <w:tblStyle w:val="Table2"/>
        <w:bidiVisual w:val="1"/>
        <w:tblW w:w="107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395"/>
        <w:gridCol w:w="5395"/>
        <w:tblGridChange w:id="0">
          <w:tblGrid>
            <w:gridCol w:w="5395"/>
            <w:gridCol w:w="5395"/>
          </w:tblGrid>
        </w:tblGridChange>
      </w:tblGrid>
      <w:tr>
        <w:tc>
          <w:tcPr/>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מהרש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אגדות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בתרא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sz w:val="24"/>
                <w:szCs w:val="24"/>
                <w:rtl w:val="1"/>
              </w:rPr>
              <w:t xml:space="preserve">מיהו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מיחזי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וכאן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וימת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שהקב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כותב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מחזי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שהרי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בשעת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כתיבה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והוסיף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וכאן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בדמע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גמור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כההיא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המביא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רושם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ולכך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מחזי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האמירה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הכתיבה</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tl w:val="0"/>
              </w:rPr>
            </w:r>
          </w:p>
        </w:tc>
        <w:tc>
          <w:tcPr/>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כלי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חמדה</w:t>
            </w:r>
          </w:p>
          <w:p w:rsidR="00000000" w:rsidDel="00000000" w:rsidP="00000000" w:rsidRDefault="00000000" w:rsidRPr="00000000">
            <w:pPr>
              <w:bidi w:val="1"/>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דשקר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בפה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ולענ</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ובטח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תלמיד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טועה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נלע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עפי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ויפח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ממללא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דיתרון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דאמירה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ולזאת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דוימת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ואילך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בפיו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אמירה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ומיתה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הסותרים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זא</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sz w:val="24"/>
                <w:szCs w:val="24"/>
                <w:rtl w:val="0"/>
              </w:rPr>
              <w:t xml:space="preserve">...</w:t>
            </w:r>
          </w:p>
        </w:tc>
      </w:tr>
    </w:tbl>
    <w:p w:rsidR="00000000" w:rsidDel="00000000" w:rsidP="00000000" w:rsidRDefault="00000000" w:rsidRPr="0000000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tbl>
      <w:tblPr>
        <w:tblStyle w:val="Table3"/>
        <w:bidiVisual w:val="1"/>
        <w:tblW w:w="107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395"/>
        <w:gridCol w:w="5395"/>
        <w:tblGridChange w:id="0">
          <w:tblGrid>
            <w:gridCol w:w="5395"/>
            <w:gridCol w:w="5395"/>
          </w:tblGrid>
        </w:tblGridChange>
      </w:tblGrid>
      <w:tr>
        <w:tc>
          <w:tcPr/>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גור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אריה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w:t>
            </w:r>
          </w:p>
          <w:p w:rsidR="00000000" w:rsidDel="00000000" w:rsidP="00000000" w:rsidRDefault="00000000" w:rsidRPr="00000000">
            <w:pPr>
              <w:bidi w:val="1"/>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שכיון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בוכה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מיתתו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זהו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התחלת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המיתה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tl w:val="0"/>
              </w:rPr>
            </w:r>
          </w:p>
        </w:tc>
        <w:tc>
          <w:tcPr/>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גר</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מהספר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ענף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יוסף</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pPr>
              <w:bidi w:val="1"/>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מלאתך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ודמעך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מדומע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וערבוב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האותיות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ולאחר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מיתתו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יהושע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כפי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שניתן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רשות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לגלות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התורה</w:t>
            </w:r>
            <w:r w:rsidDel="00000000" w:rsidR="00000000" w:rsidRPr="00000000">
              <w:rPr>
                <w:rFonts w:ascii="David Libre" w:cs="David Libre" w:eastAsia="David Libre" w:hAnsi="David Libre"/>
                <w:sz w:val="24"/>
                <w:szCs w:val="24"/>
                <w:rtl w:val="0"/>
              </w:rPr>
              <w:t xml:space="preserve">.</w:t>
            </w:r>
          </w:p>
        </w:tc>
      </w:tr>
    </w:tbl>
    <w:p w:rsidR="00000000" w:rsidDel="00000000" w:rsidP="00000000" w:rsidRDefault="00000000" w:rsidRPr="00000000">
      <w:pPr>
        <w:bidi w:val="1"/>
        <w:contextualSpacing w:val="0"/>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Then what happened to it?</w:t>
      </w:r>
    </w:p>
    <w:tbl>
      <w:tblPr>
        <w:tblStyle w:val="Table4"/>
        <w:tblW w:w="107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51"/>
        <w:gridCol w:w="5439"/>
        <w:tblGridChange w:id="0">
          <w:tblGrid>
            <w:gridCol w:w="5351"/>
            <w:gridCol w:w="5439"/>
          </w:tblGrid>
        </w:tblGridChange>
      </w:tblGrid>
      <w:tr>
        <w:tc>
          <w:tcPr/>
          <w:p w:rsidR="00000000" w:rsidDel="00000000" w:rsidP="00000000" w:rsidRDefault="00000000" w:rsidRPr="00000000">
            <w:pPr>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rPr>
              <w:drawing>
                <wp:inline distB="0" distT="0" distL="0" distR="0">
                  <wp:extent cx="3235108" cy="4681820"/>
                  <wp:effectExtent b="0" l="0" r="0" t="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235108" cy="4681820"/>
                          </a:xfrm>
                          <a:prstGeom prst="rect"/>
                          <a:ln/>
                        </pic:spPr>
                      </pic:pic>
                    </a:graphicData>
                  </a:graphic>
                </wp:inline>
              </w:drawing>
            </w:r>
            <w:r w:rsidDel="00000000" w:rsidR="00000000" w:rsidRPr="00000000">
              <w:rPr>
                <w:rtl w:val="0"/>
              </w:rPr>
            </w:r>
          </w:p>
        </w:tc>
        <w:tc>
          <w:tcPr/>
          <w:p w:rsidR="00000000" w:rsidDel="00000000" w:rsidP="00000000" w:rsidRDefault="00000000" w:rsidRPr="00000000">
            <w:pPr>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rPr>
              <w:drawing>
                <wp:inline distB="0" distT="0" distL="0" distR="0">
                  <wp:extent cx="3120263" cy="4716831"/>
                  <wp:effectExtent b="0" l="0" r="0" t="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120263" cy="4716831"/>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sectPr>
      <w:footerReference r:id="rId13" w:type="default"/>
      <w:pgSz w:h="15840" w:w="12240"/>
      <w:pgMar w:bottom="576" w:top="576" w:left="720" w:right="720" w:header="706" w:footer="70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Schreiber, Daniel (AppPulse)" w:id="2" w:date="2015-05-14T23:1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 Aryeh Kaplan seems to understand that Radak was only talking about in Navi – in Torah, follow the Bavli below that everything is mesorah. R. Schachter didn’t understand Radak that way.</w:t>
      </w:r>
    </w:p>
  </w:comment>
  <w:comment w:author="Schreiber, Daniel (AppPulse)" w:id="5" w:date="2015-05-14T22:26: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Avraham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ואחר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תעבורו</w:t>
      </w:r>
    </w:p>
  </w:comment>
  <w:comment w:author="Schreiber, Daniel (AppPulse)" w:id="1" w:date="2015-05-13T23:06: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in Sifrei and Avot Derabi Natan</w:t>
      </w:r>
    </w:p>
  </w:comment>
  <w:comment w:author="Schreiber, Daniel (AppPulse)" w:id="0" w:date="2015-05-10T22:15: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is in our hands today – R. Kapach</w:t>
      </w:r>
    </w:p>
  </w:comment>
  <w:comment w:author="Schreiber, Daniel (AppPulse)" w:id="4" w:date="2015-05-14T22:3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all these examples 'after' is strictly speaking superfluous, for the verses would have made the same sense without it (presumably by the use of the copulative). </w:t>
      </w:r>
    </w:p>
  </w:comment>
  <w:comment w:author="Schreiber, Daniel (AppPulse) [2]" w:id="7" w:date="2015-05-22T09:14: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Places in the gemara or Rishonim where the text of the Torah is different.</w:t>
      </w:r>
    </w:p>
  </w:comment>
  <w:comment w:author="Schreiber, Daniel (AppPulse)" w:id="8" w:date="2015-05-14T21:5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Abarbanel says that it doesn’t mean that Yehoshua actually wrote something. It’s interesting that Ramban doesn’t comment on Ibn Ezra.</w:t>
      </w:r>
    </w:p>
  </w:comment>
  <w:comment w:author="Schreiber, Daniel (AppPulse)" w:id="3" w:date="2015-05-14T22:3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it a dispute between Yerushalmi and Bavli?</w:t>
      </w:r>
    </w:p>
  </w:comment>
  <w:comment w:author="Schreiber, Daniel (AppPulse)" w:id="6" w:date="2015-05-14T22:5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Piski TOsfos (cited by R. Moshe below) says that he was asked only about the dots themselves.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Georgia"/>
  <w:font w:name="Arial"/>
  <w:font w:name="David Libre">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mbria" w:cs="Cambria" w:eastAsia="Cambria" w:hAnsi="Cambria"/>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0.png"/><Relationship Id="rId13" Type="http://schemas.openxmlformats.org/officeDocument/2006/relationships/footer" Target="footer1.xml"/><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