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bidi w:val="1"/>
        <w:contextualSpacing w:val="0"/>
        <w:jc w:val="left"/>
      </w:pPr>
      <w:bookmarkStart w:colFirst="0" w:colLast="0" w:name="h.tske9vbwt6yr" w:id="0"/>
      <w:bookmarkEnd w:id="0"/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שומרים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אלכסנדר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ציקין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rtl w:val="1"/>
        </w:rPr>
        <w:t xml:space="preserve">רש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מסכת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בבא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מציעא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לג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עמוד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</w:t>
      </w:r>
    </w:p>
    <w:tbl>
      <w:tblPr>
        <w:tblStyle w:val="Table1"/>
        <w:bidi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המפקיד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לישבע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שבועת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שומרים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שהיה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ליפטר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בשבועה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שהרי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</w:t>
            </w:r>
            <w:r w:rsidDel="00000000" w:rsidR="00000000" w:rsidRPr="00000000">
              <w:rPr>
                <w:rtl w:val="1"/>
              </w:rPr>
              <w:t xml:space="preserve">'.[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rtl w:val="1"/>
        </w:rPr>
        <w:t xml:space="preserve">בית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הבחירה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למאירי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מסכת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בבא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מציעא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לג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עמוד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</w:t>
      </w:r>
    </w:p>
    <w:tbl>
      <w:tblPr>
        <w:tblStyle w:val="Table2"/>
        <w:bidi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המאירי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המפקיד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אצל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כבר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ארבעה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שומרין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חנם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פטור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הפשיעה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נתחייבו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הפשיעה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חנם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ונתוסף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גנבה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ואבדה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בפשיעה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וגנבה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ואבדה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כחבריו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ונתוסף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אונסין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חנם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הפשיעה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פטור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שתדע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לפטור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בשבועתו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ששמרה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השומרים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שאירעה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ופורט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שאירע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והשני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ברשותו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והשלישי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המקרה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שאירעה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וכשזה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מתחסד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שרשאי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לפטור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שבועת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השומרים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הפשיעה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יתבאר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בגמ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שנשבע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ברשותו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אירע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עיניו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ומתחסד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לשלמה</w:t>
            </w:r>
            <w:r w:rsidDel="00000000" w:rsidR="00000000" w:rsidRPr="00000000">
              <w:rPr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rtl w:val="1"/>
        </w:rPr>
        <w:t xml:space="preserve">רמב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שכירות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</w:t>
      </w:r>
    </w:p>
    <w:tbl>
      <w:tblPr>
        <w:tblStyle w:val="Table3"/>
        <w:bidi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יראה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* </w:t>
            </w:r>
            <w:r w:rsidDel="00000000" w:rsidR="00000000" w:rsidRPr="00000000">
              <w:rPr>
                <w:rtl w:val="1"/>
              </w:rPr>
              <w:t xml:space="preserve">שאם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בעבדים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וכיוצא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פטור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בעבדים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וקרקעות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ושטרות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גניבה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ואבידה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וכיוצא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מטלטלין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ונגנבו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ובעבדים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וקרקעות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ושטרות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פטור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משבועה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גניבה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ואבידה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במטלטלין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פטור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באלו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הפושע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מזיק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המזיק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קרקע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המזיק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מטלטלין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ודין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למבינים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לדון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רבותי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שהמוסר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באריסות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בשמירות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חנם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והתנה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שיחפור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יזמור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יאבק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ופשע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שהפסיד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שהפסיד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פנים</w:t>
            </w:r>
            <w:r w:rsidDel="00000000" w:rsidR="00000000" w:rsidRPr="00000000">
              <w:rPr>
                <w:rtl w:val="1"/>
              </w:rPr>
              <w:t xml:space="preserve">. +/</w:t>
            </w:r>
            <w:r w:rsidDel="00000000" w:rsidR="00000000" w:rsidRPr="00000000">
              <w:rPr>
                <w:rtl w:val="1"/>
              </w:rPr>
              <w:t xml:space="preserve">השגת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הראב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יראה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המזיק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מטלטלין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'.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 =</w:t>
            </w:r>
            <w:r w:rsidDel="00000000" w:rsidR="00000000" w:rsidRPr="00000000">
              <w:rPr>
                <w:rtl w:val="1"/>
              </w:rPr>
              <w:t xml:space="preserve">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חינם</w:t>
            </w:r>
            <w:r w:rsidDel="00000000" w:rsidR="00000000" w:rsidRPr="00000000">
              <w:rPr>
                <w:rtl w:val="1"/>
              </w:rPr>
              <w:t xml:space="preserve">= </w:t>
            </w:r>
            <w:r w:rsidDel="00000000" w:rsidR="00000000" w:rsidRPr="00000000">
              <w:rPr>
                <w:rtl w:val="1"/>
              </w:rPr>
              <w:t xml:space="preserve">למה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טענתו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נפשך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במקצת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ואעפ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ופרט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ופרט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=</w:t>
            </w:r>
            <w:r w:rsidDel="00000000" w:rsidR="00000000" w:rsidRPr="00000000">
              <w:rPr>
                <w:rtl w:val="1"/>
              </w:rPr>
              <w:t xml:space="preserve">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שכר</w:t>
            </w:r>
            <w:r w:rsidDel="00000000" w:rsidR="00000000" w:rsidRPr="00000000">
              <w:rPr>
                <w:rtl w:val="1"/>
              </w:rPr>
              <w:t xml:space="preserve">= </w:t>
            </w:r>
            <w:r w:rsidDel="00000000" w:rsidR="00000000" w:rsidRPr="00000000">
              <w:rPr>
                <w:rtl w:val="1"/>
              </w:rPr>
              <w:t xml:space="preserve">מיעט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מעיקר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התשלומין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השבועה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שמיעט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מעיקר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התשלומין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מיעטן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השבועה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פושע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מזיק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פטור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פושע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למזיק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. /</w:t>
            </w:r>
            <w:r w:rsidDel="00000000" w:rsidR="00000000" w:rsidRPr="00000000">
              <w:rPr>
                <w:rtl w:val="1"/>
              </w:rPr>
              <w:t xml:space="preserve">השגת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הראב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רבותי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פ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משנתנו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אוביר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אעביד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במיטבא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דבידו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ועשאוה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כתנאי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ושכיר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שהפסיד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מלאכתו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פשוט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מזיק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שתלא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טבחא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אומנא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מותרים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ועומדין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.+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