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bidi w:val="1"/>
        <w:contextualSpacing w:val="0"/>
      </w:pPr>
      <w:bookmarkStart w:colFirst="0" w:colLast="0" w:name="h.iynlb32kwf76" w:id="0"/>
      <w:bookmarkEnd w:id="0"/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ומשיכה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אלכסנדר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ציקין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u w:val="single"/>
          <w:rtl w:val="1"/>
        </w:rPr>
        <w:t xml:space="preserve">משנה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מסכת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קידושין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</w:t>
      </w:r>
    </w:p>
    <w:tbl>
      <w:tblPr>
        <w:tblStyle w:val="Table1"/>
        <w:bidi w:val="1"/>
        <w:tblW w:w="90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4"/>
        <w:tblGridChange w:id="0">
          <w:tblGrid>
            <w:gridCol w:w="907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משנה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האשה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נקנית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בשלש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וקונה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עצמה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נקנית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בשטר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ובביאה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אומרים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בדינר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ובשוה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דינר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אומרים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בפרוטה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ובשוה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פרוטה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פרוטה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משמנה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באיסר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האיטלקי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וקונה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עצמה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בגט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ובמיתת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היבמה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נקנית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בביאה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וקונה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עצמה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בחליצה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ובמיתת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היבם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משנה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עבד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עברי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נקנה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ובשטר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וקונה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עצמו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וביובל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ובגרעון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יתירה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העבריה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שקונה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עצמה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בסימנין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הנרצע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נקנה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ברציעה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וקונה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עצמו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ביובל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ובמיתת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האדון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משנה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עבד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כנעני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נקנה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ובשטר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ובחזקה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וקונה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עצמו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ובשטר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עצמו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מאיר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וחכמים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אומרים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עצמו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ובשטר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ובלבד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שיהא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אחרים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משנה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בהמה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גסה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נקנית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במסירה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והדקה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בהגבהה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מאיר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ור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אליעזר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וחכמים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אומרים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נקנית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במשיכה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משנה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נכסים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נקנין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ובשטר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ובחזקה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ושאין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נקנין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במשיכה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נכסים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נקנין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נכסים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ובשטר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ובחזקה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וזוקקין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נכסים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הנכסים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לישבע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עליהן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משנה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באחר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שזכה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נתחייב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בחליפיו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החליף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חמור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שזכה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נתחייב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בחליפיו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רשות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הגבוה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ורשות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ההדיוט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בחזקה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אמירתו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לגבוה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כמסירתו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להדיוט</w:t>
            </w:r>
            <w:r w:rsidDel="00000000" w:rsidR="00000000" w:rsidRPr="00000000">
              <w:rPr>
                <w:rtl w:val="1"/>
              </w:rPr>
              <w:t xml:space="preserve">: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u w:val="single"/>
          <w:rtl w:val="1"/>
        </w:rPr>
        <w:t xml:space="preserve">תלמוד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בבלי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מסכת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בכורות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יג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עמוד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 </w:t>
      </w:r>
    </w:p>
    <w:tbl>
      <w:tblPr>
        <w:tblStyle w:val="Table2"/>
        <w:bidi w:val="1"/>
        <w:tblW w:w="90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4"/>
        <w:tblGridChange w:id="0">
          <w:tblGrid>
            <w:gridCol w:w="907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יצחק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נחמני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אושעיא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ישראל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לעובד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כוכבים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בבהמתו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בדיניהם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משך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קנה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וחייבת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בבכורה</w:t>
            </w:r>
            <w:r w:rsidDel="00000000" w:rsidR="00000000" w:rsidRPr="00000000">
              <w:rPr>
                <w:rtl w:val="1"/>
              </w:rPr>
              <w:t xml:space="preserve">; </w:t>
            </w:r>
            <w:r w:rsidDel="00000000" w:rsidR="00000000" w:rsidRPr="00000000">
              <w:rPr>
                <w:rtl w:val="1"/>
              </w:rPr>
              <w:t xml:space="preserve">ועובד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כוכבים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לישראל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בבהמתו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בדיניהם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משך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קנה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ופטור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הבכורה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ישראל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לעובד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כוכבים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בדיניהם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משך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קנה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וחייבת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בבכורה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בדיניהם</w:t>
            </w:r>
            <w:r w:rsidDel="00000000" w:rsidR="00000000" w:rsidRPr="00000000">
              <w:rPr>
                <w:rtl w:val="1"/>
              </w:rPr>
              <w:t xml:space="preserve">? </w:t>
            </w:r>
            <w:r w:rsidDel="00000000" w:rsidR="00000000" w:rsidRPr="00000000">
              <w:rPr>
                <w:rtl w:val="1"/>
              </w:rPr>
              <w:t xml:space="preserve">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נימא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בדיניהם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דגופיה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דאתי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בקל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וחומר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גופיה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ישראל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בכסף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דכתיב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לרשת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אחוזה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הקישו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הכתוב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לאחוזה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אחוזה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נקנית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ובשטר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ובחזקה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עבד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כנעני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נקנה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בכסף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ממונו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אפי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בשטר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ובחזקה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נמי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ועוד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ישראל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מישראל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יוכיחו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דגופיה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קני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בכסף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ממונו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במשיכה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אביי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בדיניהם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שפסקה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תורה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עמיתך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מיד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עמיתך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דבמשיכה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עובד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כוכבים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בכסף</w:t>
            </w:r>
            <w:r w:rsidDel="00000000" w:rsidR="00000000" w:rsidRPr="00000000">
              <w:rPr>
                <w:rtl w:val="1"/>
              </w:rPr>
              <w:t xml:space="preserve">;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u w:val="single"/>
          <w:rtl w:val="1"/>
        </w:rPr>
        <w:t xml:space="preserve">חידושי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הריטב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מסכת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קידושין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עמוד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</w:t>
      </w:r>
      <w:r w:rsidDel="00000000" w:rsidR="00000000" w:rsidRPr="00000000">
        <w:rPr>
          <w:u w:val="single"/>
          <w:rtl w:val="1"/>
        </w:rPr>
        <w:t xml:space="preserve"> </w:t>
      </w:r>
    </w:p>
    <w:tbl>
      <w:tblPr>
        <w:tblStyle w:val="Table3"/>
        <w:bidi w:val="1"/>
        <w:tblW w:w="90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4"/>
        <w:tblGridChange w:id="0">
          <w:tblGrid>
            <w:gridCol w:w="907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והא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דתנן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') </w:t>
            </w:r>
            <w:r w:rsidDel="00000000" w:rsidR="00000000" w:rsidRPr="00000000">
              <w:rPr>
                <w:rtl w:val="1"/>
              </w:rPr>
              <w:t xml:space="preserve">נכסים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נקנין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במשיכה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דוקא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במסירה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בהגבהה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וחד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כדיניה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והגבהה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נקט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לאפוקי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ושטר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וחזקה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דאיירי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רישא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בקרקעות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תימא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ליתני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הגבהה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גדולה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שבכולם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איכא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למימר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שמשיכה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נוהג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יותר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בדברים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בינונים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שאינם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כבדים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דלמאן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מפורשת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עיקר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דמאי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דדרשינן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עמיתך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הנקנה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משיכה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שהגבהה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מושכה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לרשותו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ומחזירה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למקומה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קורא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עמיתך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שעדיין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עמיתך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היא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מסירה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הנקנה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ממקומו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בעינן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במסירה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כדכתיבנא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לעיל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ודאי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עיקר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קרא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איתרבו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מסירה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והגבהה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והוו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כתולדות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דידיה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ולרבי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יוחנן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ומשיכה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מדרבנן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גזירה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נשרפו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חיטיך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בעליה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עיקר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התקנה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שהביאה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לרשותו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ויצא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טענת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נשרפו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חיטיך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דאלו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באידך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אכתי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נשרפו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חיטיך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דכיון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דתקון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תקון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מסירה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והגבהה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חששו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לטענת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נשרפו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חיטיך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משום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דאילו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במסירה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שכיח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בדברים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כבדים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וגם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ברשות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הרבים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לטענת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נשרפו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חיטך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בעליה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והגבהה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שכבר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הגביהו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לרשותו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כשחזר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והניחו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למקומו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כחוזר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ומפקידו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אצלו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ולפיכך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חששו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חששו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בשוכר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מקומו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שברשותו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עומד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וכשם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חששו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בחליפין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שכבר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סודרו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וכדפרישית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הזהב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'), </w:t>
            </w:r>
            <w:r w:rsidDel="00000000" w:rsidR="00000000" w:rsidRPr="00000000">
              <w:rPr>
                <w:rtl w:val="1"/>
              </w:rPr>
              <w:t xml:space="preserve">הלכך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עיקר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תקנתא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ואמטולליתה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תיקון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אידך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דכיון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דאמור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דזוזי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לגמרי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תקינו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ודבר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הראוי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יותר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חששו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לטענת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נשרפו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חיטיך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מהטעם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שכתבנו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ומכל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עיקר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לכולם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לדברי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ולהכי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נקט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תנא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משיכה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מפי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נר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u w:val="single"/>
          <w:rtl w:val="1"/>
        </w:rPr>
        <w:t xml:space="preserve">חידושי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הרשב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מסכת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קידושין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עמוד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 </w:t>
      </w:r>
    </w:p>
    <w:tbl>
      <w:tblPr>
        <w:tblStyle w:val="Table4"/>
        <w:bidi w:val="1"/>
        <w:tblW w:w="90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4"/>
        <w:tblGridChange w:id="0">
          <w:tblGrid>
            <w:gridCol w:w="907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מתני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באחר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שזכה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נתחייב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בחליפין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נראה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שכך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גרסתו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רש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הספרים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ופירש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שזכה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המוכר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נתחייב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הלוקח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בחליפיו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נגנב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נאבד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ברשותו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נגנב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דהא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בחליפיו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משך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מחוור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דהול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שזכה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בחליפיו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ור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כיון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שזכה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נתחייב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בחליפיו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ליתנן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ללוקח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ושוב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לחזור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גרסינן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נתחייב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בחליפיו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שזכה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נתחייב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בחליפיו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u w:val="single"/>
          <w:rtl w:val="1"/>
        </w:rPr>
        <w:t xml:space="preserve">תוספות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מסכת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עבודה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עמוד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 </w:t>
      </w:r>
    </w:p>
    <w:tbl>
      <w:tblPr>
        <w:tblStyle w:val="Table5"/>
        <w:bidi w:val="1"/>
        <w:tblW w:w="90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4"/>
        <w:tblGridChange w:id="0">
          <w:tblGrid>
            <w:gridCol w:w="907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פרדשני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דורונות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בהו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אלמא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קננהו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במשיכה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מתשובת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הגאונים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חטים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כו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פי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בקונט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עיקר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דלישנא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קמא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במתנה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דמשיכה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וממכר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ואור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דאפי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למ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בסמוך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כגון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דאיכא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כספא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במציאה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ומתנה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דליכא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כספא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מודו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דקני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במשיכה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בהגבהה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u w:val="single"/>
          <w:rtl w:val="1"/>
        </w:rPr>
        <w:t xml:space="preserve">רמב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הלכות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מכירה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הלכה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</w:t>
      </w:r>
      <w:r w:rsidDel="00000000" w:rsidR="00000000" w:rsidRPr="00000000">
        <w:rPr>
          <w:u w:val="single"/>
          <w:rtl w:val="1"/>
        </w:rPr>
        <w:t xml:space="preserve"> </w:t>
      </w:r>
    </w:p>
    <w:tbl>
      <w:tblPr>
        <w:tblStyle w:val="Table6"/>
        <w:bidi w:val="1"/>
        <w:tblW w:w="90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4"/>
        <w:tblGridChange w:id="0">
          <w:tblGrid>
            <w:gridCol w:w="907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מכר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בדברים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בלבד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ופסקו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הדמים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ורשם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הלוקח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סימן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ידוע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מהדמים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החוזר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שרשם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שפרע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מנהג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המדינה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שיקנה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הרושם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גמור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נקנה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המקח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לחזור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ויהיה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דמים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u w:val="single"/>
          <w:rtl w:val="1"/>
        </w:rPr>
        <w:t xml:space="preserve">פני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יהושע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מסכת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קידושין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עמוד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</w:t>
      </w:r>
      <w:r w:rsidDel="00000000" w:rsidR="00000000" w:rsidRPr="00000000">
        <w:rPr>
          <w:u w:val="single"/>
          <w:rtl w:val="1"/>
        </w:rPr>
        <w:t xml:space="preserve"> </w:t>
      </w:r>
    </w:p>
    <w:tbl>
      <w:tblPr>
        <w:tblStyle w:val="Table7"/>
        <w:bidi w:val="1"/>
        <w:tblW w:w="90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4"/>
        <w:tblGridChange w:id="0">
          <w:tblGrid>
            <w:gridCol w:w="9074"/>
          </w:tblGrid>
        </w:tblGridChange>
      </w:tblGrid>
      <w:tr>
        <w:trPr>
          <w:trHeight w:val="28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והנראה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בעיני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דודאי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לר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יוחנן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חשוב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טובא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ומסברא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שיקנה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מקום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תדע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דאל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המטלטלים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במציאה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ומתנה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ובנכסי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קונה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כרחך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במשיכה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שאבאר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בדיני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ומטלטלים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במטלטלים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במשיכה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וממכר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מגזירת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הכתוב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דכתיב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לעמיתך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ודרשינן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בבכורות</w:t>
            </w:r>
            <w:r w:rsidDel="00000000" w:rsidR="00000000" w:rsidRPr="00000000">
              <w:rPr>
                <w:rtl w:val="1"/>
              </w:rPr>
              <w:t xml:space="preserve"> [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] </w:t>
            </w:r>
            <w:r w:rsidDel="00000000" w:rsidR="00000000" w:rsidRPr="00000000">
              <w:rPr>
                <w:rtl w:val="1"/>
              </w:rPr>
              <w:t xml:space="preserve">לעמיתך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בחדא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והיינו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דוקא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במשיכה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ולפי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שפיר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דאדרבא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דקי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עבדא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כמקרקעי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בכלל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תמכרו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לעמיתך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ואדרבא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ממעטינן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עבדים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מדין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אונאה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קרא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תמכרו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לעמיתך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הדרינן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לסברא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דקונה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במתנה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וממכר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דמאי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ושאני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מטלטלים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דגזירת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הכתוב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דבחדא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משא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עבדים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דאיתרבו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בריבוי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קנינים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למשיכה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והקישא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דלשדה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אחוזה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לריבוי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קנינים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למיעוט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ועוד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דבקרקעות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משיכה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נראה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</w:t>
            </w:r>
            <w:r w:rsidDel="00000000" w:rsidR="00000000" w:rsidRPr="00000000">
              <w:rPr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10" w:right="14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