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</w:pPr>
      <w:bookmarkStart w:colFirst="0" w:colLast="0" w:name="h.3ruuszn857gr" w:id="0"/>
      <w:bookmarkEnd w:id="0"/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ציקין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תלמוד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בכורות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1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נחמני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אושעיא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בבהמתו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וחייבת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בבכורה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ועובד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בבהמתו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הבכורה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משך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וחייבת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בבכורה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דגופיה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דאתי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דכתיב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לרשת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אחוזה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הקישו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הכתוב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לאחוזה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אחוזה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כנעני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ובחזקה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ועוד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יוכיחו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דגופיה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אביי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בדיניהם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שפסקה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רי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2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נשרפו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חטיך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לאשלומי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מוקמת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נפשיה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וטרח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ומציל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טרח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ומציל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ושמעינן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משכיה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לזבינא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ואיתניס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איתניס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מקחי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3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קונות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וק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בגמרא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בכורות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')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דבריהם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שטרא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נינהו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שסיים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ומיהו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למיפרך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ובגמרא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דבכורות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איפריך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גונא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כדאשכחן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ההקדש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שאמרה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מחוור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דמהקדש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הדיוט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דאימעיט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דכתיב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ודרך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קנייה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בכסף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קאמר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4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קונות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שפירשו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דילפינן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מהקדש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דכתיב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נהירא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לטיבותא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דהקדש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דקדושין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')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ילפינן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מהקדש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ואחרים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דאתיא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נהירא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דלעמיתך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בבכורות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'), </w:t>
            </w:r>
            <w:r w:rsidDel="00000000" w:rsidR="00000000" w:rsidRPr="00000000">
              <w:rPr>
                <w:rtl w:val="1"/>
              </w:rPr>
              <w:t xml:space="preserve">והנכון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דטעמא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קרקעות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וקדושי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שטרא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נינהו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דהא</w:t>
            </w:r>
            <w:r w:rsidDel="00000000" w:rsidR="00000000" w:rsidRPr="00000000">
              <w:rPr>
                <w:rtl w:val="1"/>
              </w:rPr>
              <w:t xml:space="preserve"> [</w:t>
            </w:r>
            <w:r w:rsidDel="00000000" w:rsidR="00000000" w:rsidRPr="00000000">
              <w:rPr>
                <w:rtl w:val="1"/>
              </w:rPr>
              <w:t xml:space="preserve">טעמא</w:t>
            </w:r>
            <w:r w:rsidDel="00000000" w:rsidR="00000000" w:rsidRPr="00000000">
              <w:rPr>
                <w:rtl w:val="1"/>
              </w:rPr>
              <w:t xml:space="preserve">] </w:t>
            </w:r>
            <w:r w:rsidDel="00000000" w:rsidR="00000000" w:rsidRPr="00000000">
              <w:rPr>
                <w:rtl w:val="1"/>
              </w:rPr>
              <w:t xml:space="preserve">דמסתבר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והכתוב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תלמודא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לקיש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וק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תירצו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דמודה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בחצרו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כדכתיב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רבות</w:t>
            </w:r>
            <w:r w:rsidDel="00000000" w:rsidR="00000000" w:rsidRPr="00000000">
              <w:rPr>
                <w:rtl w:val="1"/>
              </w:rPr>
              <w:t xml:space="preserve"> [</w:t>
            </w:r>
            <w:r w:rsidDel="00000000" w:rsidR="00000000" w:rsidRPr="00000000">
              <w:rPr>
                <w:rtl w:val="1"/>
              </w:rPr>
              <w:t xml:space="preserve">וגו</w:t>
            </w:r>
            <w:r w:rsidDel="00000000" w:rsidR="00000000" w:rsidRPr="00000000">
              <w:rPr>
                <w:rtl w:val="1"/>
              </w:rPr>
              <w:t xml:space="preserve">']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ביהודה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תוספות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עבודה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5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פרדשני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דורונות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בהו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קננהו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מתשובת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הגאונים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בקונט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דלישנא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למ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בסמוך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כגון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בהגבהה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שו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6"/>
        <w:bidi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ובעיקר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שמפקפק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במכירת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נעשים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להקנות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החמץ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ותמה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דכיצד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הממון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הנה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נסתפקתי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החפץ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דסגי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בקבלת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דפעולת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הקנין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הממון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לזכות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שהנכרי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בחפץ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דנתי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לדידיה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ניחא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הנז</w:t>
            </w:r>
            <w:r w:rsidDel="00000000" w:rsidR="00000000" w:rsidRPr="00000000">
              <w:rPr>
                <w:rtl w:val="1"/>
              </w:rPr>
              <w:t xml:space="preserve">'.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[</w:t>
            </w:r>
            <w:r w:rsidDel="00000000" w:rsidR="00000000" w:rsidRPr="00000000">
              <w:rPr>
                <w:rtl w:val="1"/>
              </w:rPr>
              <w:t xml:space="preserve">והנה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הקנין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שזכיית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הקנין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דשפיר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ובהקדם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דף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פרדשני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שכתבו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דמשיכה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בעכו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מבואר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שבמציאה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במשיכה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סימן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יב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דדוקא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אונסיה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ולכאורה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בכסף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ניחא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החפץ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ומצאתי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בנתיבות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סימן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בהא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וכ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אונסיה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הנתיבות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חילוף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מטלטלין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אונסא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וזוזי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אונסא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למכור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כקיבל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הנאנס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החפץ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בחליפין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אנסוהו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יקנה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החפץ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כמבואר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דהזהב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ועיין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].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בסברא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בקבלת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בזכיית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מתיישב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פקפוקו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דיתכן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הממון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שבירושלמי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שביעית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/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משמע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דזכיית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והארכתי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ואכמ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