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bidi w:val="1"/>
        <w:contextualSpacing w:val="0"/>
        <w:jc w:val="left"/>
      </w:pPr>
      <w:bookmarkStart w:colFirst="0" w:colLast="0" w:name="h.iy8x98dtd3oj" w:id="0"/>
      <w:bookmarkEnd w:id="0"/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אלכסנדר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ציקין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פרשת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</w:p>
    <w:tbl>
      <w:tblPr>
        <w:tblStyle w:val="Table1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ֵּ֥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ָ֖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ֶׁ֥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ֵּ</w:t>
            </w:r>
            <w:r w:rsidDel="00000000" w:rsidR="00000000" w:rsidRPr="00000000">
              <w:rPr>
                <w:rtl w:val="1"/>
              </w:rPr>
              <w:t xml:space="preserve">אמ</w:t>
            </w:r>
            <w:r w:rsidDel="00000000" w:rsidR="00000000" w:rsidRPr="00000000">
              <w:rPr>
                <w:rtl w:val="1"/>
              </w:rPr>
              <w:t xml:space="preserve">ֹֽ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כא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ֶ֚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ִּ֣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ֱ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ָ֔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ּ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ָ֥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ַ֖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ַּ</w:t>
            </w:r>
            <w:r w:rsidDel="00000000" w:rsidR="00000000" w:rsidRPr="00000000">
              <w:rPr>
                <w:rtl w:val="1"/>
              </w:rPr>
              <w:t xml:space="preserve">יק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ָ֑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ֵ֨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ַּ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ית</w:t>
            </w:r>
            <w:r w:rsidDel="00000000" w:rsidR="00000000" w:rsidRPr="00000000">
              <w:rPr>
                <w:rtl w:val="1"/>
              </w:rPr>
              <w:t xml:space="preserve">֜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ָּ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֗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ֽ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ֹ־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ׂ֤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ּ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֙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֣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ֵ֔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֖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ַׁ֥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ית</w:t>
            </w:r>
            <w:r w:rsidDel="00000000" w:rsidR="00000000" w:rsidRPr="00000000">
              <w:rPr>
                <w:rtl w:val="1"/>
              </w:rPr>
              <w:t xml:space="preserve">ֽ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כב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ֽ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ֹ־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צ</w:t>
            </w:r>
            <w:r w:rsidDel="00000000" w:rsidR="00000000" w:rsidRPr="00000000">
              <w:rPr>
                <w:rtl w:val="1"/>
              </w:rPr>
              <w:t xml:space="preserve">ָ֧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ֵ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ָ֛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ִ֥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ָּ֖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ּ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ְׁ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ַּ֣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ָׁ֑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ַ֗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ֹּ֛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ֶׂ֥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ָ֖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ֹ֥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ֵֽ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ָּ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כג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֘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ִּֽ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ֱ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ָ֣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ֵׁ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֒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ֵ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ִׁ֨</w:t>
            </w:r>
            <w:r w:rsidDel="00000000" w:rsidR="00000000" w:rsidRPr="00000000">
              <w:rPr>
                <w:rtl w:val="1"/>
              </w:rPr>
              <w:t xml:space="preserve">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ֵ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ָ֜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ֶׁ֣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ָּ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ָ֗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֤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ֹ֙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֙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ֶׁ֣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ָׁ֔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֚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ִּ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ָּ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֔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ֶׁ֥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ַ֖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ּ֑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֥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ֵ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ָ֖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ֶׁ֥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צ</w:t>
            </w:r>
            <w:r w:rsidDel="00000000" w:rsidR="00000000" w:rsidRPr="00000000">
              <w:rPr>
                <w:rtl w:val="1"/>
              </w:rPr>
              <w:t xml:space="preserve">ָֽ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כד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֠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ֹּ֞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ָּׁ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ַ֣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יו</w:t>
            </w:r>
            <w:r w:rsidDel="00000000" w:rsidR="00000000" w:rsidRPr="00000000">
              <w:rPr>
                <w:rtl w:val="1"/>
              </w:rPr>
              <w:t xml:space="preserve">֘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ֶּׁ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֒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ִׁ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ַּ֤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תו</w:t>
            </w:r>
            <w:r w:rsidDel="00000000" w:rsidR="00000000" w:rsidRPr="00000000">
              <w:rPr>
                <w:rtl w:val="1"/>
              </w:rPr>
              <w:t xml:space="preserve">ֹ֙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אש</w:t>
            </w:r>
            <w:r w:rsidDel="00000000" w:rsidR="00000000" w:rsidRPr="00000000">
              <w:rPr>
                <w:rtl w:val="1"/>
              </w:rPr>
              <w:t xml:space="preserve">ׁ֔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ִׁ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ָ֖</w:t>
            </w:r>
            <w:r w:rsidDel="00000000" w:rsidR="00000000" w:rsidRPr="00000000">
              <w:rPr>
                <w:rtl w:val="1"/>
              </w:rPr>
              <w:t xml:space="preserve">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ֵ֣</w:t>
            </w:r>
            <w:r w:rsidDel="00000000" w:rsidR="00000000" w:rsidRPr="00000000">
              <w:rPr>
                <w:rtl w:val="1"/>
              </w:rPr>
              <w:t xml:space="preserve">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ָ֑</w:t>
            </w:r>
            <w:r w:rsidDel="00000000" w:rsidR="00000000" w:rsidRPr="00000000">
              <w:rPr>
                <w:rtl w:val="1"/>
              </w:rPr>
              <w:t xml:space="preserve">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ֶׁ֨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֥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ּ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֛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ֶ֖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ּ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ּ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֥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ְׁ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ֽ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כה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ָׁ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֥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ִ֖</w:t>
            </w:r>
            <w:r w:rsidDel="00000000" w:rsidR="00000000" w:rsidRPr="00000000">
              <w:rPr>
                <w:rtl w:val="1"/>
              </w:rPr>
              <w:t xml:space="preserve">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יק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ָ֑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ַ֣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ָּ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ִ֧</w:t>
            </w:r>
            <w:r w:rsidDel="00000000" w:rsidR="00000000" w:rsidRPr="00000000">
              <w:rPr>
                <w:rtl w:val="1"/>
              </w:rPr>
              <w:t xml:space="preserve">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צ</w:t>
            </w:r>
            <w:r w:rsidDel="00000000" w:rsidR="00000000" w:rsidRPr="00000000">
              <w:rPr>
                <w:rtl w:val="1"/>
              </w:rPr>
              <w:t xml:space="preserve">ֹּ֛</w:t>
            </w:r>
            <w:r w:rsidDel="00000000" w:rsidR="00000000" w:rsidRPr="00000000">
              <w:rPr>
                <w:rtl w:val="1"/>
              </w:rPr>
              <w:t xml:space="preserve">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ְּ</w:t>
            </w:r>
            <w:r w:rsidDel="00000000" w:rsidR="00000000" w:rsidRPr="00000000">
              <w:rPr>
                <w:rtl w:val="1"/>
              </w:rPr>
              <w:t xml:space="preserve">ך</w:t>
            </w:r>
            <w:r w:rsidDel="00000000" w:rsidR="00000000" w:rsidRPr="00000000">
              <w:rPr>
                <w:rtl w:val="1"/>
              </w:rPr>
              <w:t xml:space="preserve">ָ֥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ָׁ֖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ֶ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ֹּ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ֵֽ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כו</w:t>
            </w:r>
            <w:r w:rsidDel="00000000" w:rsidR="00000000" w:rsidRPr="00000000">
              <w:rPr>
                <w:rtl w:val="1"/>
              </w:rPr>
              <w:t xml:space="preserve">)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ֶּ֨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ָ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ָ֧</w:t>
            </w:r>
            <w:r w:rsidDel="00000000" w:rsidR="00000000" w:rsidRPr="00000000">
              <w:rPr>
                <w:rtl w:val="1"/>
              </w:rPr>
              <w:t xml:space="preserve">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ֹּ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ֵ֛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ֵ֥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ֹ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ָ֖</w:t>
            </w:r>
            <w:r w:rsidDel="00000000" w:rsidR="00000000" w:rsidRPr="00000000">
              <w:rPr>
                <w:rtl w:val="1"/>
              </w:rPr>
              <w:t xml:space="preserve">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ס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ַ֣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֑</w:t>
            </w:r>
            <w:r w:rsidDel="00000000" w:rsidR="00000000" w:rsidRPr="00000000">
              <w:rPr>
                <w:rtl w:val="1"/>
              </w:rPr>
              <w:t xml:space="preserve">ו</w:t>
            </w:r>
            <w:r w:rsidDel="00000000" w:rsidR="00000000" w:rsidRPr="00000000">
              <w:rPr>
                <w:rtl w:val="1"/>
              </w:rPr>
              <w:t xml:space="preserve">ֹ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ח</w:t>
            </w:r>
            <w:r w:rsidDel="00000000" w:rsidR="00000000" w:rsidRPr="00000000">
              <w:rPr>
                <w:rtl w:val="1"/>
              </w:rPr>
              <w:t xml:space="preserve">ַ֛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ִ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ֹּ֥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ֶֽׁ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־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ֲ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ֶׂ֖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ְ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ַ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ְׁ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ָ֥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ָֽ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ּ: </w:t>
            </w:r>
            <w:r w:rsidDel="00000000" w:rsidR="00000000" w:rsidRPr="00000000">
              <w:rPr>
                <w:rtl w:val="1"/>
              </w:rPr>
              <w:t xml:space="preserve">פ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חידושי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הריטב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מציעא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</w:p>
    <w:tbl>
      <w:tblPr>
        <w:tblStyle w:val="Table2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דתניא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עקיבא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ואוקימנא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בדוכתה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הגוזל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דפליגי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והחזירה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ודכ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בהשבה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ודעתו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הילכך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שנטל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יחזיר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תלמוד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3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מתני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והחזירו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נגנב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באחריותו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בגניבתו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בחזירתו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ושלימה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גמ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שלימה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אסיפא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ושמואל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אכולה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ורבי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שלימה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ארישא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שלימה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ארישא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חסדא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הואיל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ואנקטה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ברייתא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והאמר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דחזייה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לחבריה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דאגבה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מעדרא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דידיה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ושדייה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הדריה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נגנב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באחריותו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מני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</w:t>
            </w:r>
            <w:r w:rsidDel="00000000" w:rsidR="00000000" w:rsidRPr="00000000">
              <w:rPr>
                <w:rtl w:val="1"/>
              </w:rPr>
              <w:t xml:space="preserve">? </w:t>
            </w:r>
            <w:r w:rsidDel="00000000" w:rsidR="00000000" w:rsidRPr="00000000">
              <w:rPr>
                <w:rtl w:val="1"/>
              </w:rPr>
              <w:t xml:space="preserve">והאמר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החזירו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שבמדבר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ברקועתא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לימא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כתנאי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העדר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יחזיר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סברוה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דכולי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שעה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ובפלוגתא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ושמואל</w:t>
            </w:r>
            <w:r w:rsidDel="00000000" w:rsidR="00000000" w:rsidRPr="00000000">
              <w:rPr>
                <w:rtl w:val="1"/>
              </w:rPr>
              <w:t xml:space="preserve">! (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), </w:t>
            </w:r>
            <w:r w:rsidDel="00000000" w:rsidR="00000000" w:rsidRPr="00000000">
              <w:rPr>
                <w:rtl w:val="1"/>
              </w:rPr>
              <w:t xml:space="preserve">בטלה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ובפלוגתא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חסדא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יוחנן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משמיה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חסדא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קמיפלגי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לימא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תנאי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היא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דתניא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הגוזל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והבליע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בחשבון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תני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ותניא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אידך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סברוה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ושעה</w:t>
            </w:r>
            <w:r w:rsidDel="00000000" w:rsidR="00000000" w:rsidRPr="00000000">
              <w:rPr>
                <w:rtl w:val="1"/>
              </w:rPr>
              <w:t xml:space="preserve">; </w:t>
            </w:r>
            <w:r w:rsidDel="00000000" w:rsidR="00000000" w:rsidRPr="00000000">
              <w:rPr>
                <w:rtl w:val="1"/>
              </w:rPr>
              <w:t xml:space="preserve">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קמיפלגי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ומאן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יצא</w:t>
            </w:r>
            <w:r w:rsidDel="00000000" w:rsidR="00000000" w:rsidRPr="00000000">
              <w:rPr>
                <w:rtl w:val="1"/>
              </w:rPr>
              <w:t xml:space="preserve"> - </w:t>
            </w:r>
            <w:r w:rsidDel="00000000" w:rsidR="00000000" w:rsidRPr="00000000">
              <w:rPr>
                <w:rtl w:val="1"/>
              </w:rPr>
              <w:t xml:space="preserve">סבר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! </w:t>
            </w:r>
            <w:r w:rsidDel="00000000" w:rsidR="00000000" w:rsidRPr="00000000">
              <w:rPr>
                <w:rtl w:val="1"/>
              </w:rPr>
              <w:t xml:space="preserve">אמרי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סבירא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בדרבי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קמיפלגי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דכ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יצחק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קשיא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לידיה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ואיבעית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אימא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אידי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ואידי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זוזי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אחריני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בכיסיה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גניבה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4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הלכה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כגון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שהופקד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שהופקד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אצלו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בכפל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והטלה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לעדרו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שיודיע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שהרי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וכאילו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שיודיע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מביתו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הגנוב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בגניבתו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בחזירתו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מעותיו</w:t>
            </w:r>
            <w:r w:rsidDel="00000000" w:rsidR="00000000" w:rsidRPr="00000000">
              <w:rPr>
                <w:rtl w:val="1"/>
              </w:rPr>
              <w:t xml:space="preserve">. +/</w:t>
            </w:r>
            <w:r w:rsidDel="00000000" w:rsidR="00000000" w:rsidRPr="00000000">
              <w:rPr>
                <w:rtl w:val="1"/>
              </w:rPr>
              <w:t xml:space="preserve">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מרשותו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בכפל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כלום</w:t>
            </w:r>
            <w:r w:rsidDel="00000000" w:rsidR="00000000" w:rsidRPr="00000000">
              <w:rPr>
                <w:rtl w:val="1"/>
              </w:rPr>
              <w:t xml:space="preserve">. /</w:t>
            </w:r>
            <w:r w:rsidDel="00000000" w:rsidR="00000000" w:rsidRPr="00000000">
              <w:rPr>
                <w:rtl w:val="1"/>
              </w:rPr>
              <w:t xml:space="preserve">השגת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שיודיע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בעליו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מעותיו</w:t>
            </w:r>
            <w:r w:rsidDel="00000000" w:rsidR="00000000" w:rsidRPr="00000000">
              <w:rPr>
                <w:rtl w:val="1"/>
              </w:rPr>
              <w:t xml:space="preserve">.+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הלכה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ומצאו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בגניבתו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בחזירתו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שהחזירו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מאחריותו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הגהות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מיימוניות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גניבה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5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[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]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אלפס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ופירש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פליגי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גבי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גנבה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דבעינן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כמתני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דהגוזל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בתרא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ובמאי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דפליגי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המחבר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ישמעאל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דאוקי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סתם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מתני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דפרק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כוותיה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חזקיה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הנפקד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חפץ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שבידו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ולאחר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החזירו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מונח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בחזקת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חשיב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ואפילו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דמעתה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מהימן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לקמן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בהלכות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גזילה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ג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מגיד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גניבה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tbl>
      <w:tblPr>
        <w:tblStyle w:val="Table6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פסק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וכאוקימתא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דרב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זביד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הגוזל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ומאכיל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עכ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ונכון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מודה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כשהיא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כשהחזיר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הכיס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פטור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בסמוך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ואפשר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והראשון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נכון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אבן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האזל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גניבה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tbl>
      <w:tblPr>
        <w:tblStyle w:val="Table7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והנראה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דסובר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שרצה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קאי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בלא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וטעמא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דמילתא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דשומר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נתחייב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שימסור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בשמירת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הגזלה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בהשבת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הגזלה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בהגזלה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סגי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בהשבה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ידיעתן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בגנבתו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לשמור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מחזירתה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היזק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דינא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המפקיד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דהוא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בגדר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וממכר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הפקדון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חזרה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ומסלק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שמירתו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דקיי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לדעת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  <w:t xml:space="preserve">...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ובדעת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דנאמר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דסובר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כדעת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רש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חילוק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שומרים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וגזלן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מחזיר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הבעלים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אפי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ולכן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הוצרך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להשמיענו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בהלכה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u w:val="single"/>
          <w:rtl w:val="1"/>
        </w:rPr>
        <w:t xml:space="preserve">מחנה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אפרים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גניבה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</w:p>
    <w:tbl>
      <w:tblPr>
        <w:tblStyle w:val="Table8"/>
        <w:bidi w:val="1"/>
        <w:tblW w:w="99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9"/>
        <w:tblGridChange w:id="0">
          <w:tblGrid>
            <w:gridCol w:w="99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[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] </w:t>
            </w:r>
            <w:r w:rsidDel="00000000" w:rsidR="00000000" w:rsidRPr="00000000">
              <w:rPr>
                <w:rtl w:val="1"/>
              </w:rPr>
              <w:t xml:space="preserve">עדין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חייב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באחריותו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שימנה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מעותיו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בה</w:t>
            </w:r>
            <w:r w:rsidDel="00000000" w:rsidR="00000000" w:rsidRPr="00000000">
              <w:rPr>
                <w:rtl w:val="1"/>
              </w:rPr>
              <w:t xml:space="preserve">' </w:t>
            </w:r>
            <w:r w:rsidDel="00000000" w:rsidR="00000000" w:rsidRPr="00000000">
              <w:rPr>
                <w:rtl w:val="1"/>
              </w:rPr>
              <w:t xml:space="preserve">גזילה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דאדם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עשוי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בכיסו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שעה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>
            <w:pPr>
              <w:bidi w:val="1"/>
              <w:contextualSpacing w:val="0"/>
            </w:pP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לשונו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הגונב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סלע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והחוזר</w:t>
            </w:r>
            <w:r w:rsidDel="00000000" w:rsidR="00000000" w:rsidRPr="00000000">
              <w:rPr>
                <w:rtl w:val="1"/>
              </w:rPr>
              <w:t xml:space="preserve">) [</w:t>
            </w:r>
            <w:r w:rsidDel="00000000" w:rsidR="00000000" w:rsidRPr="00000000">
              <w:rPr>
                <w:rtl w:val="1"/>
              </w:rPr>
              <w:t xml:space="preserve">והחזיר</w:t>
            </w:r>
            <w:r w:rsidDel="00000000" w:rsidR="00000000" w:rsidRPr="00000000">
              <w:rPr>
                <w:rtl w:val="1"/>
              </w:rPr>
              <w:t xml:space="preserve">]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הגנוב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', </w:t>
            </w:r>
            <w:r w:rsidDel="00000000" w:rsidR="00000000" w:rsidRPr="00000000">
              <w:rPr>
                <w:rtl w:val="1"/>
              </w:rPr>
              <w:t xml:space="preserve">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שכונת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רבינו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בדוקא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שגנב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'. </w:t>
            </w:r>
            <w:r w:rsidDel="00000000" w:rsidR="00000000" w:rsidRPr="00000000">
              <w:rPr>
                <w:rtl w:val="1"/>
              </w:rPr>
              <w:t xml:space="preserve">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ידעתי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ומדברי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הרמב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במלחמות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ששנה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מנין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פוטר</w:t>
            </w:r>
            <w:r w:rsidDel="00000000" w:rsidR="00000000" w:rsidRPr="00000000">
              <w:rPr>
                <w:rtl w:val="1"/>
              </w:rPr>
              <w:t xml:space="preserve">: </w:t>
            </w:r>
          </w:p>
        </w:tc>
      </w:tr>
    </w:tbl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0" w:right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