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29E53" w14:textId="77777777" w:rsidR="00000000" w:rsidRDefault="009E592E">
      <w:pPr>
        <w:pStyle w:val="NormalWeb"/>
        <w:bidi/>
        <w:spacing w:before="0" w:beforeAutospacing="0" w:after="0" w:afterAutospacing="0"/>
        <w:rPr>
          <w:rFonts w:ascii="Arial" w:hAnsi="Arial" w:cs="Arial"/>
          <w:sz w:val="40"/>
          <w:szCs w:val="40"/>
          <w:lang w:val="en-IL"/>
        </w:rPr>
      </w:pPr>
      <w:bookmarkStart w:id="0" w:name="_GoBack"/>
      <w:bookmarkEnd w:id="0"/>
      <w:r>
        <w:rPr>
          <w:rFonts w:ascii="Arial" w:hAnsi="Arial" w:cs="Arial"/>
          <w:sz w:val="40"/>
          <w:szCs w:val="40"/>
          <w:rtl/>
          <w:lang w:val="en-IL"/>
        </w:rPr>
        <w:t>שיעור 7</w:t>
      </w:r>
    </w:p>
    <w:p w14:paraId="6430B6F5" w14:textId="77777777" w:rsidR="00000000" w:rsidRDefault="009E592E">
      <w:pPr>
        <w:pStyle w:val="NormalWeb"/>
        <w:bidi/>
        <w:spacing w:before="0" w:beforeAutospacing="0" w:after="0" w:afterAutospacing="0"/>
        <w:rPr>
          <w:rFonts w:ascii="Calibri" w:hAnsi="Calibri" w:cs="Calibri"/>
          <w:color w:val="767676"/>
          <w:sz w:val="20"/>
          <w:szCs w:val="20"/>
          <w:rtl/>
          <w:lang w:val="en-IL"/>
        </w:rPr>
      </w:pPr>
      <w:r>
        <w:rPr>
          <w:rFonts w:ascii="Calibri" w:hAnsi="Calibri" w:cs="Calibri"/>
          <w:color w:val="767676"/>
          <w:sz w:val="20"/>
          <w:szCs w:val="20"/>
          <w:lang w:val="en-US"/>
        </w:rPr>
        <w:t>Sunday, 7 October 2018</w:t>
      </w:r>
    </w:p>
    <w:p w14:paraId="3BE7C8EB" w14:textId="77777777" w:rsidR="00000000" w:rsidRDefault="009E592E">
      <w:pPr>
        <w:pStyle w:val="NormalWeb"/>
        <w:bidi/>
        <w:spacing w:before="0" w:beforeAutospacing="0" w:after="0" w:afterAutospacing="0"/>
        <w:rPr>
          <w:rFonts w:ascii="Calibri" w:hAnsi="Calibri" w:cs="Calibri"/>
          <w:color w:val="767676"/>
          <w:sz w:val="20"/>
          <w:szCs w:val="20"/>
          <w:rtl/>
          <w:lang w:val="en-IL"/>
        </w:rPr>
      </w:pPr>
      <w:r>
        <w:rPr>
          <w:rFonts w:ascii="Calibri" w:hAnsi="Calibri" w:cs="Calibri"/>
          <w:color w:val="767676"/>
          <w:sz w:val="20"/>
          <w:szCs w:val="20"/>
          <w:lang w:val="en-US"/>
        </w:rPr>
        <w:t>19:30</w:t>
      </w:r>
    </w:p>
    <w:p w14:paraId="4613B923" w14:textId="77777777" w:rsidR="00000000" w:rsidRDefault="009E592E">
      <w:pPr>
        <w:pStyle w:val="NormalWeb"/>
        <w:spacing w:before="0" w:beforeAutospacing="0" w:after="0" w:afterAutospacing="0"/>
        <w:rPr>
          <w:rFonts w:ascii="Arial" w:hAnsi="Arial" w:cs="Arial"/>
          <w:sz w:val="40"/>
          <w:szCs w:val="40"/>
          <w:rtl/>
          <w:lang w:val="en-IL"/>
        </w:rPr>
      </w:pPr>
      <w:r>
        <w:rPr>
          <w:rFonts w:ascii="Arial" w:hAnsi="Arial" w:cs="Arial"/>
          <w:sz w:val="40"/>
          <w:szCs w:val="40"/>
          <w:rtl/>
          <w:lang w:val="en-IL"/>
        </w:rPr>
        <w:t> </w:t>
      </w:r>
    </w:p>
    <w:p w14:paraId="7DB23E6A" w14:textId="77777777" w:rsidR="00000000" w:rsidRDefault="009E592E">
      <w:pPr>
        <w:pStyle w:val="NormalWeb"/>
        <w:bidi/>
        <w:spacing w:before="0" w:beforeAutospacing="0" w:after="0" w:afterAutospacing="0"/>
        <w:rPr>
          <w:rFonts w:ascii="Arial" w:hAnsi="Arial" w:cs="Arial"/>
          <w:sz w:val="40"/>
          <w:szCs w:val="40"/>
          <w:lang w:val="en-IL"/>
        </w:rPr>
      </w:pPr>
      <w:r>
        <w:rPr>
          <w:rFonts w:ascii="Arial" w:hAnsi="Arial" w:cs="Arial"/>
          <w:sz w:val="40"/>
          <w:szCs w:val="40"/>
          <w:rtl/>
          <w:lang w:val="en-IL"/>
        </w:rPr>
        <w:t> </w:t>
      </w:r>
    </w:p>
    <w:p w14:paraId="3A116C62" w14:textId="77777777" w:rsidR="00000000" w:rsidRDefault="009E592E">
      <w:pPr>
        <w:pStyle w:val="NormalWeb"/>
        <w:bidi/>
        <w:spacing w:before="0" w:beforeAutospacing="0" w:after="0" w:afterAutospacing="0"/>
        <w:rPr>
          <w:rFonts w:ascii="Arial" w:hAnsi="Arial" w:cs="Arial"/>
          <w:sz w:val="40"/>
          <w:szCs w:val="40"/>
          <w:rtl/>
          <w:lang w:val="en-IL"/>
        </w:rPr>
      </w:pPr>
      <w:r>
        <w:rPr>
          <w:rFonts w:ascii="Arial" w:hAnsi="Arial" w:cs="Arial"/>
          <w:sz w:val="40"/>
          <w:szCs w:val="40"/>
          <w:rtl/>
          <w:lang w:val="en-IL"/>
        </w:rPr>
        <w:t> </w:t>
      </w:r>
    </w:p>
    <w:p w14:paraId="4977B974" w14:textId="77777777" w:rsidR="00000000" w:rsidRDefault="009E592E">
      <w:pPr>
        <w:pStyle w:val="NormalWeb"/>
        <w:bidi/>
        <w:spacing w:before="0" w:beforeAutospacing="0" w:after="0" w:afterAutospacing="0"/>
        <w:rPr>
          <w:rFonts w:ascii="Arial" w:hAnsi="Arial" w:cs="Arial"/>
          <w:color w:val="000000"/>
          <w:sz w:val="40"/>
          <w:szCs w:val="40"/>
          <w:rtl/>
          <w:lang w:val="en-IL"/>
        </w:rPr>
      </w:pPr>
      <w:r>
        <w:rPr>
          <w:rFonts w:ascii="Arial" w:hAnsi="Arial" w:cs="Arial"/>
          <w:color w:val="000000"/>
          <w:sz w:val="40"/>
          <w:szCs w:val="40"/>
          <w:u w:val="single"/>
          <w:rtl/>
          <w:lang w:val="en-IL"/>
        </w:rPr>
        <w:t>שיטת חכמים בתנאי חוץ מפלוני</w:t>
      </w:r>
    </w:p>
    <w:p w14:paraId="1112666B" w14:textId="77777777" w:rsidR="00000000" w:rsidRDefault="009E592E">
      <w:pPr>
        <w:pStyle w:val="NormalWeb"/>
        <w:spacing w:before="0" w:beforeAutospacing="0" w:after="0" w:afterAutospacing="0"/>
        <w:rPr>
          <w:rFonts w:ascii="Arial" w:hAnsi="Arial" w:cs="Arial"/>
          <w:color w:val="000000"/>
          <w:sz w:val="40"/>
          <w:szCs w:val="40"/>
          <w:rtl/>
          <w:lang w:val="en-IL"/>
        </w:rPr>
      </w:pPr>
      <w:r>
        <w:rPr>
          <w:rFonts w:ascii="Arial" w:hAnsi="Arial" w:cs="Arial"/>
          <w:color w:val="000000"/>
          <w:sz w:val="40"/>
          <w:szCs w:val="40"/>
          <w:lang w:val="en-US"/>
        </w:rPr>
        <w:t xml:space="preserve">The position of the </w:t>
      </w:r>
      <w:r>
        <w:rPr>
          <w:rFonts w:ascii="Arial" w:hAnsi="Arial" w:cs="Arial" w:hint="cs"/>
          <w:color w:val="000000"/>
          <w:sz w:val="40"/>
          <w:szCs w:val="40"/>
          <w:rtl/>
          <w:lang w:val="en-IL"/>
        </w:rPr>
        <w:t>חכמים</w:t>
      </w:r>
      <w:r>
        <w:rPr>
          <w:rFonts w:ascii="Arial" w:hAnsi="Arial" w:cs="Arial"/>
          <w:color w:val="000000"/>
          <w:sz w:val="40"/>
          <w:szCs w:val="40"/>
          <w:lang w:val="en-US"/>
        </w:rPr>
        <w:t xml:space="preserve"> that invalidates a </w:t>
      </w:r>
      <w:r>
        <w:rPr>
          <w:rFonts w:ascii="Arial" w:hAnsi="Arial" w:cs="Arial" w:hint="cs"/>
          <w:color w:val="000000"/>
          <w:sz w:val="40"/>
          <w:szCs w:val="40"/>
          <w:rtl/>
          <w:lang w:val="en-IL"/>
        </w:rPr>
        <w:t>גט על תנאי</w:t>
      </w:r>
      <w:r>
        <w:rPr>
          <w:rFonts w:ascii="Arial" w:hAnsi="Arial" w:cs="Arial"/>
          <w:color w:val="000000"/>
          <w:sz w:val="40"/>
          <w:szCs w:val="40"/>
          <w:lang w:val="en-US"/>
        </w:rPr>
        <w:t xml:space="preserve"> presents us with the exact opposite perspective of </w:t>
      </w:r>
      <w:r>
        <w:rPr>
          <w:rFonts w:ascii="Arial" w:hAnsi="Arial" w:cs="Arial" w:hint="cs"/>
          <w:color w:val="000000"/>
          <w:sz w:val="40"/>
          <w:szCs w:val="40"/>
          <w:rtl/>
          <w:lang w:val="en-IL"/>
        </w:rPr>
        <w:t>גירושין</w:t>
      </w:r>
      <w:r>
        <w:rPr>
          <w:rFonts w:ascii="Arial" w:hAnsi="Arial" w:cs="Arial"/>
          <w:color w:val="000000"/>
          <w:sz w:val="40"/>
          <w:szCs w:val="40"/>
          <w:lang w:val="en-US"/>
        </w:rPr>
        <w:t xml:space="preserve">. Not only must </w:t>
      </w:r>
      <w:r>
        <w:rPr>
          <w:rFonts w:ascii="Arial" w:hAnsi="Arial" w:cs="Arial" w:hint="cs"/>
          <w:color w:val="000000"/>
          <w:sz w:val="40"/>
          <w:szCs w:val="40"/>
          <w:rtl/>
          <w:lang w:val="en-IL"/>
        </w:rPr>
        <w:t>גירושין</w:t>
      </w:r>
      <w:r>
        <w:rPr>
          <w:rFonts w:ascii="Arial" w:hAnsi="Arial" w:cs="Arial"/>
          <w:color w:val="000000"/>
          <w:sz w:val="40"/>
          <w:szCs w:val="40"/>
          <w:lang w:val="en-US"/>
        </w:rPr>
        <w:t xml:space="preserve"> end the marriage entirely on a legal </w:t>
      </w:r>
      <w:r>
        <w:rPr>
          <w:rFonts w:ascii="Arial" w:hAnsi="Arial" w:cs="Arial"/>
          <w:color w:val="000000"/>
          <w:sz w:val="40"/>
          <w:szCs w:val="40"/>
          <w:lang w:val="en-US"/>
        </w:rPr>
        <w:t xml:space="preserve">and formal level, we also demand something beyond that. </w:t>
      </w:r>
    </w:p>
    <w:p w14:paraId="09EFD118" w14:textId="77777777" w:rsidR="00000000" w:rsidRDefault="009E592E">
      <w:pPr>
        <w:pStyle w:val="NormalWeb"/>
        <w:spacing w:before="0" w:beforeAutospacing="0" w:after="0" w:afterAutospacing="0"/>
        <w:rPr>
          <w:rFonts w:ascii="Arial" w:hAnsi="Arial" w:cs="Arial"/>
          <w:color w:val="000000"/>
          <w:sz w:val="40"/>
          <w:szCs w:val="40"/>
          <w:lang w:val="en-US"/>
        </w:rPr>
      </w:pPr>
      <w:r>
        <w:rPr>
          <w:rFonts w:ascii="Arial" w:hAnsi="Arial" w:cs="Arial"/>
          <w:color w:val="000000"/>
          <w:sz w:val="40"/>
          <w:szCs w:val="40"/>
          <w:lang w:val="en-US"/>
        </w:rPr>
        <w:t> </w:t>
      </w:r>
    </w:p>
    <w:p w14:paraId="50353E5D" w14:textId="77777777" w:rsidR="00000000" w:rsidRDefault="009E592E">
      <w:pPr>
        <w:pStyle w:val="NormalWeb"/>
        <w:spacing w:before="0" w:beforeAutospacing="0" w:after="0" w:afterAutospacing="0"/>
        <w:rPr>
          <w:rFonts w:ascii="Arial" w:hAnsi="Arial" w:cs="Arial"/>
          <w:color w:val="000000"/>
          <w:sz w:val="40"/>
          <w:szCs w:val="40"/>
          <w:lang w:val="en-IL"/>
        </w:rPr>
      </w:pPr>
      <w:r>
        <w:rPr>
          <w:rFonts w:ascii="Arial" w:hAnsi="Arial" w:cs="Arial"/>
          <w:color w:val="000000"/>
          <w:sz w:val="40"/>
          <w:szCs w:val="40"/>
          <w:lang w:val="en-US"/>
        </w:rPr>
        <w:t xml:space="preserve">Do we require something other than the </w:t>
      </w:r>
      <w:r>
        <w:rPr>
          <w:rFonts w:ascii="Arial" w:hAnsi="Arial" w:cs="Arial" w:hint="cs"/>
          <w:color w:val="000000"/>
          <w:sz w:val="40"/>
          <w:szCs w:val="40"/>
          <w:rtl/>
          <w:lang w:val="en-IL"/>
        </w:rPr>
        <w:t>גט</w:t>
      </w:r>
      <w:r>
        <w:rPr>
          <w:rFonts w:ascii="Arial" w:hAnsi="Arial" w:cs="Arial"/>
          <w:color w:val="000000"/>
          <w:sz w:val="40"/>
          <w:szCs w:val="40"/>
          <w:lang w:val="en-US"/>
        </w:rPr>
        <w:t xml:space="preserve">? Or are we concerened with avoiding something that undermines the </w:t>
      </w:r>
      <w:r>
        <w:rPr>
          <w:rFonts w:ascii="Arial" w:hAnsi="Arial" w:cs="Arial" w:hint="cs"/>
          <w:color w:val="000000"/>
          <w:sz w:val="40"/>
          <w:szCs w:val="40"/>
          <w:rtl/>
          <w:lang w:val="en-IL"/>
        </w:rPr>
        <w:t>גירושין</w:t>
      </w:r>
      <w:r>
        <w:rPr>
          <w:rFonts w:ascii="Arial" w:hAnsi="Arial" w:cs="Arial"/>
          <w:color w:val="000000"/>
          <w:sz w:val="40"/>
          <w:szCs w:val="40"/>
          <w:lang w:val="en-US"/>
        </w:rPr>
        <w:t xml:space="preserve">. </w:t>
      </w:r>
    </w:p>
    <w:p w14:paraId="25A65BEA" w14:textId="77777777" w:rsidR="00000000" w:rsidRDefault="009E592E">
      <w:pPr>
        <w:pStyle w:val="NormalWeb"/>
        <w:bidi/>
        <w:spacing w:before="0" w:beforeAutospacing="0" w:after="0" w:afterAutospacing="0"/>
        <w:rPr>
          <w:rFonts w:ascii="Arial" w:hAnsi="Arial" w:cs="Arial"/>
          <w:color w:val="000000"/>
          <w:sz w:val="40"/>
          <w:szCs w:val="40"/>
          <w:lang w:val="en-IL"/>
        </w:rPr>
      </w:pPr>
      <w:r>
        <w:rPr>
          <w:rFonts w:ascii="Arial" w:hAnsi="Arial" w:cs="Arial"/>
          <w:color w:val="000000"/>
          <w:sz w:val="40"/>
          <w:szCs w:val="40"/>
          <w:rtl/>
          <w:lang w:val="en-IL"/>
        </w:rPr>
        <w:t> </w:t>
      </w:r>
    </w:p>
    <w:p w14:paraId="7A20E996" w14:textId="77777777" w:rsidR="00000000" w:rsidRDefault="009E592E">
      <w:pPr>
        <w:pStyle w:val="NormalWeb"/>
        <w:bidi/>
        <w:spacing w:before="0" w:beforeAutospacing="0" w:after="0" w:afterAutospacing="0"/>
        <w:rPr>
          <w:rFonts w:ascii="Arial" w:hAnsi="Arial" w:cs="Arial"/>
          <w:color w:val="000000"/>
          <w:sz w:val="40"/>
          <w:szCs w:val="40"/>
          <w:rtl/>
          <w:lang w:val="en-IL"/>
        </w:rPr>
      </w:pPr>
      <w:r>
        <w:rPr>
          <w:rFonts w:ascii="Arial" w:hAnsi="Arial" w:cs="Arial"/>
          <w:color w:val="000000"/>
          <w:sz w:val="40"/>
          <w:szCs w:val="40"/>
          <w:rtl/>
          <w:lang w:val="en-IL"/>
        </w:rPr>
        <w:t> </w:t>
      </w:r>
    </w:p>
    <w:p w14:paraId="5BAE0791" w14:textId="77777777" w:rsidR="00000000" w:rsidRDefault="009E592E">
      <w:pPr>
        <w:pStyle w:val="NormalWeb"/>
        <w:spacing w:before="0" w:beforeAutospacing="0" w:after="0" w:afterAutospacing="0"/>
        <w:rPr>
          <w:rFonts w:ascii="Arial" w:hAnsi="Arial" w:cs="Arial"/>
          <w:color w:val="000000"/>
          <w:sz w:val="40"/>
          <w:szCs w:val="40"/>
          <w:rtl/>
          <w:lang w:val="en-IL"/>
        </w:rPr>
      </w:pPr>
      <w:r>
        <w:rPr>
          <w:rFonts w:ascii="Arial" w:hAnsi="Arial" w:cs="Arial"/>
          <w:color w:val="000000"/>
          <w:sz w:val="40"/>
          <w:szCs w:val="40"/>
          <w:lang w:val="en-US"/>
        </w:rPr>
        <w:t>The five opinions of the Tanaim who argue with R"E are generall based on "</w:t>
      </w:r>
      <w:r>
        <w:rPr>
          <w:rFonts w:ascii="Arial" w:hAnsi="Arial" w:cs="Arial" w:hint="cs"/>
          <w:color w:val="000000"/>
          <w:sz w:val="40"/>
          <w:szCs w:val="40"/>
          <w:rtl/>
          <w:lang w:val="en-IL"/>
        </w:rPr>
        <w:t>כ</w:t>
      </w:r>
      <w:r>
        <w:rPr>
          <w:rFonts w:ascii="Arial" w:hAnsi="Arial" w:cs="Arial" w:hint="cs"/>
          <w:color w:val="000000"/>
          <w:sz w:val="40"/>
          <w:szCs w:val="40"/>
          <w:rtl/>
          <w:lang w:val="en-IL"/>
        </w:rPr>
        <w:t>ריתות</w:t>
      </w:r>
      <w:r>
        <w:rPr>
          <w:rFonts w:ascii="Arial" w:hAnsi="Arial" w:cs="Arial"/>
          <w:color w:val="000000"/>
          <w:sz w:val="40"/>
          <w:szCs w:val="40"/>
          <w:lang w:val="en-US"/>
        </w:rPr>
        <w:t xml:space="preserve">" but each gets to the issue differently, and perhaps they understand it in radically different ways. </w:t>
      </w:r>
    </w:p>
    <w:p w14:paraId="3E652B0E" w14:textId="77777777" w:rsidR="00000000" w:rsidRDefault="009E592E">
      <w:pPr>
        <w:pStyle w:val="NormalWeb"/>
        <w:bidi/>
        <w:spacing w:before="0" w:beforeAutospacing="0" w:after="0" w:afterAutospacing="0"/>
        <w:rPr>
          <w:rFonts w:ascii="Arial" w:hAnsi="Arial" w:cs="Arial"/>
          <w:color w:val="000000"/>
          <w:sz w:val="40"/>
          <w:szCs w:val="40"/>
          <w:lang w:val="en-IL"/>
        </w:rPr>
      </w:pPr>
      <w:r>
        <w:rPr>
          <w:rFonts w:ascii="Arial" w:hAnsi="Arial" w:cs="Arial" w:hint="cs"/>
          <w:color w:val="000000"/>
          <w:sz w:val="40"/>
          <w:szCs w:val="40"/>
          <w:rtl/>
          <w:lang w:val="en-IL"/>
        </w:rPr>
        <w:t>גמ פ</w:t>
      </w:r>
      <w:r>
        <w:rPr>
          <w:rFonts w:ascii="Arial" w:hAnsi="Arial" w:cs="Arial" w:hint="cs"/>
          <w:color w:val="000000"/>
          <w:sz w:val="40"/>
          <w:szCs w:val="40"/>
          <w:rtl/>
          <w:lang w:val="en-IL"/>
        </w:rPr>
        <w:t xml:space="preserve">ג. </w:t>
      </w:r>
      <w:r>
        <w:rPr>
          <w:rFonts w:ascii="Arial" w:hAnsi="Arial" w:cs="Arial" w:hint="cs"/>
          <w:color w:val="000000"/>
          <w:sz w:val="40"/>
          <w:szCs w:val="40"/>
          <w:rtl/>
          <w:lang w:val="en-IL" w:bidi="ar-SA"/>
        </w:rPr>
        <w:t>"</w:t>
      </w:r>
      <w:r>
        <w:rPr>
          <w:rFonts w:ascii="Arial" w:hAnsi="Arial" w:cs="Arial" w:hint="cs"/>
          <w:color w:val="000000"/>
          <w:sz w:val="40"/>
          <w:szCs w:val="40"/>
          <w:rtl/>
          <w:lang w:val="en-IL"/>
        </w:rPr>
        <w:t>תנו רבנן</w:t>
      </w:r>
      <w:r>
        <w:rPr>
          <w:rFonts w:ascii="Arial" w:hAnsi="Arial" w:cs="Arial" w:hint="cs"/>
          <w:color w:val="000000"/>
          <w:sz w:val="40"/>
          <w:szCs w:val="40"/>
          <w:rtl/>
          <w:lang w:val="en-IL" w:bidi="ar-SA"/>
        </w:rPr>
        <w:t xml:space="preserve"> ..." </w:t>
      </w:r>
      <w:r>
        <w:rPr>
          <w:rFonts w:ascii="Arial" w:hAnsi="Arial" w:cs="Arial" w:hint="cs"/>
          <w:color w:val="000000"/>
          <w:sz w:val="40"/>
          <w:szCs w:val="40"/>
          <w:rtl/>
          <w:lang w:val="en-IL"/>
        </w:rPr>
        <w:t>עד פג</w:t>
      </w:r>
      <w:r>
        <w:rPr>
          <w:rFonts w:ascii="Arial" w:hAnsi="Arial" w:cs="Arial" w:hint="cs"/>
          <w:color w:val="000000"/>
          <w:sz w:val="40"/>
          <w:szCs w:val="40"/>
          <w:rtl/>
          <w:lang w:val="en-IL"/>
        </w:rPr>
        <w:t>:</w:t>
      </w:r>
      <w:r>
        <w:rPr>
          <w:rFonts w:ascii="Arial" w:hAnsi="Arial" w:cs="Arial" w:hint="cs"/>
          <w:color w:val="000000"/>
          <w:sz w:val="40"/>
          <w:szCs w:val="40"/>
          <w:rtl/>
          <w:lang w:val="en-IL" w:bidi="ar-SA"/>
        </w:rPr>
        <w:t xml:space="preserve"> </w:t>
      </w:r>
      <w:r>
        <w:rPr>
          <w:rFonts w:ascii="Arial" w:hAnsi="Arial" w:cs="Arial" w:hint="cs"/>
          <w:color w:val="000000"/>
          <w:sz w:val="40"/>
          <w:szCs w:val="40"/>
          <w:rtl/>
          <w:lang w:val="en-IL"/>
        </w:rPr>
        <w:t xml:space="preserve"> "או חיי פלוני ה"ז כריתות". </w:t>
      </w:r>
    </w:p>
    <w:p w14:paraId="4A3188B5" w14:textId="77777777" w:rsidR="00000000" w:rsidRDefault="009E592E">
      <w:pPr>
        <w:pStyle w:val="NormalWeb"/>
        <w:bidi/>
        <w:spacing w:before="0" w:beforeAutospacing="0" w:after="0" w:afterAutospacing="0"/>
        <w:rPr>
          <w:rFonts w:ascii="Arial" w:hAnsi="Arial" w:cs="Arial"/>
          <w:sz w:val="40"/>
          <w:szCs w:val="40"/>
          <w:rtl/>
          <w:lang w:val="en-IL"/>
        </w:rPr>
      </w:pPr>
      <w:r>
        <w:rPr>
          <w:rFonts w:ascii="Arial" w:hAnsi="Arial" w:cs="Arial"/>
          <w:sz w:val="40"/>
          <w:szCs w:val="40"/>
          <w:rtl/>
          <w:lang w:val="en-IL"/>
        </w:rPr>
        <w:t> </w:t>
      </w:r>
    </w:p>
    <w:p w14:paraId="695672AD" w14:textId="77777777" w:rsidR="00000000" w:rsidRDefault="009E592E">
      <w:pPr>
        <w:pStyle w:val="NormalWeb"/>
        <w:bidi/>
        <w:spacing w:before="0" w:beforeAutospacing="0" w:after="0" w:afterAutospacing="0"/>
        <w:rPr>
          <w:rFonts w:ascii="Arial" w:hAnsi="Arial" w:cs="Arial"/>
          <w:sz w:val="40"/>
          <w:szCs w:val="40"/>
          <w:rtl/>
          <w:lang w:val="en-IL"/>
        </w:rPr>
      </w:pPr>
      <w:r>
        <w:rPr>
          <w:rFonts w:ascii="Arial" w:hAnsi="Arial" w:cs="Arial"/>
          <w:sz w:val="40"/>
          <w:szCs w:val="40"/>
          <w:rtl/>
          <w:lang w:val="en-IL"/>
        </w:rPr>
        <w:t xml:space="preserve">רש"י מסכת גיטין דף פב עמוד ב </w:t>
      </w:r>
    </w:p>
    <w:p w14:paraId="347A3868" w14:textId="77777777" w:rsidR="00000000" w:rsidRDefault="009E592E">
      <w:pPr>
        <w:pStyle w:val="NormalWeb"/>
        <w:bidi/>
        <w:spacing w:before="0" w:beforeAutospacing="0" w:after="0" w:afterAutospacing="0"/>
        <w:rPr>
          <w:rFonts w:ascii="Arial" w:hAnsi="Arial" w:cs="Arial"/>
          <w:sz w:val="40"/>
          <w:szCs w:val="40"/>
          <w:rtl/>
          <w:lang w:val="en-IL"/>
        </w:rPr>
      </w:pPr>
      <w:r>
        <w:rPr>
          <w:rFonts w:ascii="Arial" w:hAnsi="Arial" w:cs="Arial"/>
          <w:sz w:val="40"/>
          <w:szCs w:val="40"/>
          <w:rtl/>
          <w:lang w:val="en-IL"/>
        </w:rPr>
        <w:t xml:space="preserve">הכא שייר בגיטא - כיון דאתני בהדה שלא לינשא לזה נמצא </w:t>
      </w:r>
      <w:r>
        <w:rPr>
          <w:rFonts w:ascii="Arial" w:hAnsi="Arial" w:cs="Arial"/>
          <w:sz w:val="40"/>
          <w:szCs w:val="40"/>
          <w:rtl/>
          <w:lang w:val="en-IL"/>
        </w:rPr>
        <w:t xml:space="preserve">שלא התירה </w:t>
      </w:r>
      <w:r>
        <w:rPr>
          <w:rFonts w:ascii="Arial" w:hAnsi="Arial" w:cs="Arial"/>
          <w:b/>
          <w:bCs/>
          <w:sz w:val="40"/>
          <w:szCs w:val="40"/>
          <w:u w:val="single"/>
          <w:rtl/>
          <w:lang w:val="en-IL"/>
        </w:rPr>
        <w:t>גט</w:t>
      </w:r>
      <w:r>
        <w:rPr>
          <w:rFonts w:ascii="Arial" w:hAnsi="Arial" w:cs="Arial"/>
          <w:sz w:val="40"/>
          <w:szCs w:val="40"/>
          <w:rtl/>
          <w:lang w:val="en-IL"/>
        </w:rPr>
        <w:t xml:space="preserve"> זה לכל אדם.</w:t>
      </w:r>
    </w:p>
    <w:p w14:paraId="4FD2B44A" w14:textId="77777777" w:rsidR="00000000" w:rsidRDefault="009E592E">
      <w:pPr>
        <w:pStyle w:val="NormalWeb"/>
        <w:bidi/>
        <w:spacing w:before="0" w:beforeAutospacing="0" w:after="0" w:afterAutospacing="0"/>
        <w:rPr>
          <w:rFonts w:ascii="Arial" w:hAnsi="Arial" w:cs="Arial"/>
          <w:sz w:val="40"/>
          <w:szCs w:val="40"/>
          <w:rtl/>
          <w:lang w:val="en-IL"/>
        </w:rPr>
      </w:pPr>
      <w:r>
        <w:rPr>
          <w:rFonts w:ascii="Arial" w:hAnsi="Arial" w:cs="Arial"/>
          <w:sz w:val="40"/>
          <w:szCs w:val="40"/>
          <w:rtl/>
          <w:lang w:val="en-IL"/>
        </w:rPr>
        <w:t> </w:t>
      </w:r>
    </w:p>
    <w:p w14:paraId="615B51CC" w14:textId="77777777" w:rsidR="00000000" w:rsidRDefault="009E592E">
      <w:pPr>
        <w:pStyle w:val="NormalWeb"/>
        <w:bidi/>
        <w:spacing w:before="0" w:beforeAutospacing="0" w:after="0" w:afterAutospacing="0"/>
        <w:rPr>
          <w:rFonts w:ascii="Arial" w:hAnsi="Arial" w:cs="Arial"/>
          <w:sz w:val="40"/>
          <w:szCs w:val="40"/>
          <w:rtl/>
          <w:lang w:val="en-IL"/>
        </w:rPr>
      </w:pPr>
      <w:r>
        <w:rPr>
          <w:rFonts w:ascii="Arial" w:hAnsi="Arial" w:cs="Arial"/>
          <w:sz w:val="40"/>
          <w:szCs w:val="40"/>
          <w:rtl/>
          <w:lang w:val="en-IL"/>
        </w:rPr>
        <w:t> </w:t>
      </w:r>
    </w:p>
    <w:p w14:paraId="075DF3ED" w14:textId="77777777" w:rsidR="00000000" w:rsidRDefault="009E592E">
      <w:pPr>
        <w:pStyle w:val="NormalWeb"/>
        <w:bidi/>
        <w:spacing w:before="0" w:beforeAutospacing="0" w:after="0" w:afterAutospacing="0"/>
        <w:rPr>
          <w:rFonts w:ascii="Arial" w:hAnsi="Arial" w:cs="Arial"/>
          <w:sz w:val="40"/>
          <w:szCs w:val="40"/>
          <w:rtl/>
          <w:lang w:val="en-IL"/>
        </w:rPr>
      </w:pPr>
      <w:r>
        <w:rPr>
          <w:rFonts w:ascii="Arial" w:hAnsi="Arial" w:cs="Arial"/>
          <w:sz w:val="40"/>
          <w:szCs w:val="40"/>
          <w:rtl/>
          <w:lang w:val="en-IL"/>
        </w:rPr>
        <w:t xml:space="preserve">תוספות מסכת גיטין דף פג עמוד ב </w:t>
      </w:r>
    </w:p>
    <w:p w14:paraId="3A638564" w14:textId="77777777" w:rsidR="00000000" w:rsidRDefault="009E592E">
      <w:pPr>
        <w:pStyle w:val="NormalWeb"/>
        <w:bidi/>
        <w:spacing w:before="0" w:beforeAutospacing="0" w:after="0" w:afterAutospacing="0"/>
        <w:rPr>
          <w:rFonts w:ascii="Arial" w:hAnsi="Arial" w:cs="Arial"/>
          <w:sz w:val="40"/>
          <w:szCs w:val="40"/>
          <w:rtl/>
          <w:lang w:val="en-IL"/>
        </w:rPr>
      </w:pPr>
      <w:r>
        <w:rPr>
          <w:rFonts w:ascii="Arial" w:hAnsi="Arial" w:cs="Arial"/>
          <w:sz w:val="40"/>
          <w:szCs w:val="40"/>
          <w:rtl/>
          <w:lang w:val="en-IL"/>
        </w:rPr>
        <w:lastRenderedPageBreak/>
        <w:t xml:space="preserve">מה קודמי הויה ראשונה דלא אגידא ביה כו' - אף על גב דלגמרי על כרחיך לא דמו דהא בקודמי הויה ראשונה שרי לכ"ע ובקודמי הויה שניה אסורה לקרובי בעלה הראשון מ"מ הוקשו לענין כי היכי דלא הוי אשת איש מעיקרא </w:t>
      </w:r>
      <w:r>
        <w:rPr>
          <w:rFonts w:ascii="Arial" w:hAnsi="Arial" w:cs="Arial"/>
          <w:sz w:val="40"/>
          <w:szCs w:val="40"/>
          <w:rtl/>
          <w:lang w:val="en-IL"/>
        </w:rPr>
        <w:t>ה"נ בעיא בקודמי הויה שניה שתהא מופקעת לגמרי ממנו מדין אשת איש ולא תהא אגידא ביה כלל.</w:t>
      </w:r>
    </w:p>
    <w:p w14:paraId="1701334F" w14:textId="77777777" w:rsidR="00000000" w:rsidRDefault="009E592E">
      <w:pPr>
        <w:pStyle w:val="NormalWeb"/>
        <w:bidi/>
        <w:spacing w:before="0" w:beforeAutospacing="0" w:after="0" w:afterAutospacing="0"/>
        <w:rPr>
          <w:rFonts w:ascii="Arial" w:hAnsi="Arial" w:cs="Arial"/>
          <w:sz w:val="40"/>
          <w:szCs w:val="40"/>
          <w:rtl/>
          <w:lang w:val="en-IL"/>
        </w:rPr>
      </w:pPr>
      <w:r>
        <w:rPr>
          <w:rFonts w:ascii="Arial" w:hAnsi="Arial" w:cs="Arial"/>
          <w:sz w:val="40"/>
          <w:szCs w:val="40"/>
          <w:rtl/>
          <w:lang w:val="en-IL"/>
        </w:rPr>
        <w:t xml:space="preserve"> </w:t>
      </w:r>
    </w:p>
    <w:p w14:paraId="241A1958" w14:textId="77777777" w:rsidR="00000000" w:rsidRDefault="009E592E">
      <w:pPr>
        <w:pStyle w:val="NormalWeb"/>
        <w:bidi/>
        <w:spacing w:before="0" w:beforeAutospacing="0" w:after="0" w:afterAutospacing="0"/>
        <w:rPr>
          <w:rFonts w:ascii="Arial" w:hAnsi="Arial" w:cs="Arial"/>
          <w:sz w:val="40"/>
          <w:szCs w:val="40"/>
          <w:rtl/>
          <w:lang w:val="en-IL"/>
        </w:rPr>
      </w:pPr>
      <w:r>
        <w:rPr>
          <w:rFonts w:ascii="Arial" w:hAnsi="Arial" w:cs="Arial"/>
          <w:sz w:val="40"/>
          <w:szCs w:val="40"/>
          <w:rtl/>
          <w:lang w:val="en-IL"/>
        </w:rPr>
        <w:t> </w:t>
      </w:r>
    </w:p>
    <w:p w14:paraId="184B0EED" w14:textId="77777777" w:rsidR="00000000" w:rsidRDefault="009E592E">
      <w:pPr>
        <w:pStyle w:val="NormalWeb"/>
        <w:bidi/>
        <w:spacing w:before="0" w:beforeAutospacing="0" w:after="0" w:afterAutospacing="0"/>
        <w:rPr>
          <w:rFonts w:ascii="Arial" w:hAnsi="Arial" w:cs="Arial"/>
          <w:sz w:val="40"/>
          <w:szCs w:val="40"/>
          <w:rtl/>
          <w:lang w:val="en-IL"/>
        </w:rPr>
      </w:pPr>
      <w:r>
        <w:rPr>
          <w:rFonts w:ascii="Arial" w:hAnsi="Arial" w:cs="Arial"/>
          <w:sz w:val="40"/>
          <w:szCs w:val="40"/>
          <w:rtl/>
          <w:lang w:val="en-IL"/>
        </w:rPr>
        <w:t> </w:t>
      </w:r>
    </w:p>
    <w:p w14:paraId="1288584B" w14:textId="77777777" w:rsidR="00000000" w:rsidRDefault="009E592E">
      <w:pPr>
        <w:pStyle w:val="NormalWeb"/>
        <w:bidi/>
        <w:spacing w:before="0" w:beforeAutospacing="0" w:after="0" w:afterAutospacing="0"/>
        <w:rPr>
          <w:rFonts w:ascii="Arial" w:hAnsi="Arial" w:cs="Arial"/>
          <w:sz w:val="40"/>
          <w:szCs w:val="40"/>
          <w:rtl/>
          <w:lang w:val="en-IL"/>
        </w:rPr>
      </w:pPr>
      <w:r>
        <w:rPr>
          <w:rFonts w:ascii="Arial" w:hAnsi="Arial" w:cs="Arial"/>
          <w:sz w:val="40"/>
          <w:szCs w:val="40"/>
          <w:rtl/>
          <w:lang w:val="en-IL"/>
        </w:rPr>
        <w:t xml:space="preserve">חידושי הרשב"א מסכת גיטין דף פג עמוד ב </w:t>
      </w:r>
    </w:p>
    <w:p w14:paraId="13AFDF95" w14:textId="77777777" w:rsidR="00000000" w:rsidRDefault="009E592E">
      <w:pPr>
        <w:pStyle w:val="NormalWeb"/>
        <w:bidi/>
        <w:spacing w:before="0" w:beforeAutospacing="0" w:after="0" w:afterAutospacing="0"/>
        <w:rPr>
          <w:rFonts w:ascii="Arial" w:hAnsi="Arial" w:cs="Arial"/>
          <w:sz w:val="40"/>
          <w:szCs w:val="40"/>
          <w:rtl/>
          <w:lang w:val="en-IL"/>
        </w:rPr>
      </w:pPr>
      <w:r>
        <w:rPr>
          <w:rFonts w:ascii="Arial" w:hAnsi="Arial" w:cs="Arial"/>
          <w:sz w:val="40"/>
          <w:szCs w:val="40"/>
          <w:rtl/>
          <w:lang w:val="en-IL"/>
        </w:rPr>
        <w:t>כריתות דבר הכורת בינו לבינה. כלומר כורת לגמרי דלא ליהוי שיורא בגט כלל, ומסתברא מדלא בעי' הכא במאי אילימא בע"מ אילימא בחוץ כדבע</w:t>
      </w:r>
      <w:r>
        <w:rPr>
          <w:rFonts w:ascii="Arial" w:hAnsi="Arial" w:cs="Arial"/>
          <w:sz w:val="40"/>
          <w:szCs w:val="40"/>
          <w:rtl/>
          <w:lang w:val="en-IL"/>
        </w:rPr>
        <w:t>י' בכולהו אינך ש"מ דר"א בן עזריה בין בחוץ בין בע"מ שייכא ואפי' אמר לה ע"מ שלא תנשאי לו מכאן ועד י"ב חדש משום דהויא שיורא בגט ואין זה כריתות, ולא דמי לזה גיטך לאחר י"ב חדש דהתם בשעה שהוא כורת כורת לגמרי אבל הכא כורת מקצת ומשייר מקצת הילכך אין זה גט כמו שכתב</w:t>
      </w:r>
      <w:r>
        <w:rPr>
          <w:rFonts w:ascii="Arial" w:hAnsi="Arial" w:cs="Arial"/>
          <w:sz w:val="40"/>
          <w:szCs w:val="40"/>
          <w:rtl/>
          <w:lang w:val="en-IL"/>
        </w:rPr>
        <w:t>תי למעלה.</w:t>
      </w:r>
    </w:p>
    <w:p w14:paraId="5D2122A8" w14:textId="77777777" w:rsidR="00000000" w:rsidRDefault="009E592E">
      <w:pPr>
        <w:pStyle w:val="NormalWeb"/>
        <w:bidi/>
        <w:spacing w:before="0" w:beforeAutospacing="0" w:after="0" w:afterAutospacing="0"/>
        <w:rPr>
          <w:rFonts w:ascii="Arial" w:hAnsi="Arial" w:cs="Arial"/>
          <w:sz w:val="40"/>
          <w:szCs w:val="40"/>
          <w:rtl/>
          <w:lang w:val="en-IL"/>
        </w:rPr>
      </w:pPr>
      <w:r>
        <w:rPr>
          <w:rFonts w:ascii="Arial" w:hAnsi="Arial" w:cs="Arial"/>
          <w:sz w:val="40"/>
          <w:szCs w:val="40"/>
          <w:rtl/>
          <w:lang w:val="en-IL"/>
        </w:rPr>
        <w:t> </w:t>
      </w:r>
    </w:p>
    <w:p w14:paraId="5B3B6477" w14:textId="77777777" w:rsidR="00000000" w:rsidRDefault="009E592E">
      <w:pPr>
        <w:pStyle w:val="NormalWeb"/>
        <w:bidi/>
        <w:spacing w:before="0" w:beforeAutospacing="0" w:after="0" w:afterAutospacing="0"/>
        <w:rPr>
          <w:rFonts w:ascii="Arial" w:hAnsi="Arial" w:cs="Arial"/>
          <w:color w:val="000000"/>
          <w:sz w:val="40"/>
          <w:szCs w:val="40"/>
          <w:rtl/>
          <w:lang w:val="en-IL"/>
        </w:rPr>
      </w:pPr>
      <w:r>
        <w:rPr>
          <w:rFonts w:ascii="Arial" w:hAnsi="Arial" w:cs="Arial"/>
          <w:color w:val="000000"/>
          <w:sz w:val="40"/>
          <w:szCs w:val="40"/>
          <w:rtl/>
          <w:lang w:val="en-IL"/>
        </w:rPr>
        <w:t> </w:t>
      </w:r>
    </w:p>
    <w:p w14:paraId="108A167B" w14:textId="77777777" w:rsidR="00000000" w:rsidRDefault="009E592E">
      <w:pPr>
        <w:pStyle w:val="NormalWeb"/>
        <w:bidi/>
        <w:spacing w:before="0" w:beforeAutospacing="0" w:after="0" w:afterAutospacing="0"/>
        <w:rPr>
          <w:rFonts w:ascii="Arial" w:hAnsi="Arial" w:cs="Arial"/>
          <w:color w:val="000000"/>
          <w:sz w:val="40"/>
          <w:szCs w:val="40"/>
          <w:rtl/>
          <w:lang w:val="en-IL"/>
        </w:rPr>
      </w:pPr>
      <w:r>
        <w:rPr>
          <w:rFonts w:ascii="Arial" w:hAnsi="Arial" w:cs="Arial"/>
          <w:color w:val="000000"/>
          <w:sz w:val="40"/>
          <w:szCs w:val="40"/>
          <w:rtl/>
          <w:lang w:val="en-IL"/>
        </w:rPr>
        <w:t> </w:t>
      </w:r>
    </w:p>
    <w:p w14:paraId="1C8D19B8" w14:textId="77777777" w:rsidR="00000000" w:rsidRDefault="009E592E">
      <w:pPr>
        <w:pStyle w:val="NormalWeb"/>
        <w:bidi/>
        <w:spacing w:before="0" w:beforeAutospacing="0" w:after="0" w:afterAutospacing="0"/>
        <w:rPr>
          <w:rFonts w:ascii="Arial" w:hAnsi="Arial" w:cs="Arial"/>
          <w:color w:val="000000"/>
          <w:sz w:val="40"/>
          <w:szCs w:val="40"/>
          <w:rtl/>
          <w:lang w:val="en-IL"/>
        </w:rPr>
      </w:pPr>
      <w:r>
        <w:rPr>
          <w:rFonts w:ascii="Arial" w:hAnsi="Arial" w:cs="Arial"/>
          <w:color w:val="000000"/>
          <w:sz w:val="40"/>
          <w:szCs w:val="40"/>
          <w:rtl/>
          <w:lang w:val="en-IL"/>
        </w:rPr>
        <w:t> </w:t>
      </w:r>
    </w:p>
    <w:p w14:paraId="6C2061B0" w14:textId="77777777" w:rsidR="00000000" w:rsidRDefault="009E592E">
      <w:pPr>
        <w:pStyle w:val="NormalWeb"/>
        <w:bidi/>
        <w:spacing w:before="0" w:beforeAutospacing="0" w:after="0" w:afterAutospacing="0"/>
        <w:rPr>
          <w:rFonts w:ascii="Arial" w:hAnsi="Arial" w:cs="Arial"/>
          <w:color w:val="000000"/>
          <w:sz w:val="40"/>
          <w:szCs w:val="40"/>
          <w:rtl/>
          <w:lang w:val="en-IL"/>
        </w:rPr>
      </w:pPr>
      <w:r>
        <w:rPr>
          <w:rFonts w:ascii="Arial" w:hAnsi="Arial" w:cs="Arial"/>
          <w:color w:val="000000"/>
          <w:sz w:val="40"/>
          <w:szCs w:val="40"/>
          <w:rtl/>
          <w:lang w:val="en-IL"/>
        </w:rPr>
        <w:t xml:space="preserve">חידושי הריטב"א מסכת גיטין דף פב עמוד א </w:t>
      </w:r>
    </w:p>
    <w:p w14:paraId="31507F78" w14:textId="77777777" w:rsidR="00000000" w:rsidRDefault="009E592E">
      <w:pPr>
        <w:pStyle w:val="NormalWeb"/>
        <w:bidi/>
        <w:spacing w:before="0" w:beforeAutospacing="0" w:after="0" w:afterAutospacing="0"/>
        <w:rPr>
          <w:rFonts w:ascii="Arial" w:hAnsi="Arial" w:cs="Arial"/>
          <w:color w:val="000000"/>
          <w:sz w:val="40"/>
          <w:szCs w:val="40"/>
          <w:rtl/>
          <w:lang w:val="en-IL"/>
        </w:rPr>
      </w:pPr>
      <w:r>
        <w:rPr>
          <w:rFonts w:ascii="Arial" w:hAnsi="Arial" w:cs="Arial"/>
          <w:color w:val="000000"/>
          <w:sz w:val="40"/>
          <w:szCs w:val="40"/>
          <w:rtl/>
          <w:lang w:val="en-IL"/>
        </w:rPr>
        <w:t xml:space="preserve">על מה נחלקו על המגרש את אשתו ואמר לה הרי את מותרת לכל אדם ע"מ שלא תנשאי לפלוני שר"א מתיר לכל אדם חוץ מאותו האיש. </w:t>
      </w:r>
      <w:r>
        <w:rPr>
          <w:rFonts w:ascii="Arial" w:hAnsi="Arial" w:cs="Arial"/>
          <w:color w:val="000000"/>
          <w:sz w:val="40"/>
          <w:szCs w:val="40"/>
          <w:u w:val="single"/>
          <w:rtl/>
          <w:lang w:val="en-IL"/>
        </w:rPr>
        <w:t xml:space="preserve">פי' ואף על גב דבעינן כריתות קסבר ר"א דהא </w:t>
      </w:r>
      <w:r>
        <w:rPr>
          <w:rFonts w:ascii="Arial" w:hAnsi="Arial" w:cs="Arial"/>
          <w:color w:val="000000"/>
          <w:sz w:val="40"/>
          <w:szCs w:val="40"/>
          <w:u w:val="single"/>
          <w:rtl/>
          <w:lang w:val="en-IL"/>
        </w:rPr>
        <w:t>נמי כריתות הוא שהרי אם ימות איש זה הרי היא מותרת לכל אדם ואינה אגידא ביה כלל</w:t>
      </w:r>
      <w:r>
        <w:rPr>
          <w:rFonts w:ascii="Arial" w:hAnsi="Arial" w:cs="Arial"/>
          <w:color w:val="000000"/>
          <w:sz w:val="40"/>
          <w:szCs w:val="40"/>
          <w:rtl/>
          <w:lang w:val="en-IL"/>
        </w:rPr>
        <w:t xml:space="preserve">, משא"כ במגרש את אשתו ואמר לה הא גיטך </w:t>
      </w:r>
      <w:r>
        <w:rPr>
          <w:rFonts w:ascii="Arial" w:hAnsi="Arial" w:cs="Arial"/>
          <w:color w:val="000000"/>
          <w:sz w:val="40"/>
          <w:szCs w:val="40"/>
          <w:rtl/>
          <w:lang w:val="en-IL"/>
        </w:rPr>
        <w:lastRenderedPageBreak/>
        <w:t xml:space="preserve">ע"מ שלא תשתי יין כל ימי חייך דאין זה כריתות, </w:t>
      </w:r>
      <w:r>
        <w:rPr>
          <w:rFonts w:ascii="Arial" w:hAnsi="Arial" w:cs="Arial"/>
          <w:color w:val="000000"/>
          <w:sz w:val="40"/>
          <w:szCs w:val="40"/>
          <w:u w:val="single"/>
          <w:rtl/>
          <w:lang w:val="en-IL"/>
        </w:rPr>
        <w:t>ובהא מודה ר"א כיון דאגידא ביה כל ימי חייה</w:t>
      </w:r>
      <w:r>
        <w:rPr>
          <w:rFonts w:ascii="Arial" w:hAnsi="Arial" w:cs="Arial"/>
          <w:color w:val="000000"/>
          <w:sz w:val="40"/>
          <w:szCs w:val="40"/>
          <w:rtl/>
          <w:lang w:val="en-IL"/>
        </w:rPr>
        <w:t>, משא"כ באומר שלא תנשאי לפלוני שאינה אגידא ביה כל ימי חי</w:t>
      </w:r>
      <w:r>
        <w:rPr>
          <w:rFonts w:ascii="Arial" w:hAnsi="Arial" w:cs="Arial"/>
          <w:color w:val="000000"/>
          <w:sz w:val="40"/>
          <w:szCs w:val="40"/>
          <w:rtl/>
          <w:lang w:val="en-IL"/>
        </w:rPr>
        <w:t>יה וכדפרישית, [ו]דמיא למאי דאמרינן הרי את מגורשת ע"מ שלא תשתי יין כל ימי חיי פלוני דמגורשת דאפשר דמיית ונמצא שאינה אגידא ביה כלל וכדאיתא לקמן (פ"ג ב'), ורבנן סברי דכיון דאיכא שיור (בביאור) לאו כריתות הוא.</w:t>
      </w:r>
    </w:p>
    <w:p w14:paraId="7836F309" w14:textId="77777777" w:rsidR="00000000" w:rsidRDefault="009E592E">
      <w:pPr>
        <w:numPr>
          <w:ilvl w:val="0"/>
          <w:numId w:val="1"/>
        </w:numPr>
        <w:ind w:left="540"/>
        <w:textAlignment w:val="center"/>
        <w:rPr>
          <w:rFonts w:ascii="Arial" w:eastAsia="Times New Roman" w:hAnsi="Arial" w:cs="Arial"/>
          <w:sz w:val="40"/>
          <w:szCs w:val="40"/>
          <w:rtl/>
          <w:lang w:val="en-IL"/>
        </w:rPr>
      </w:pPr>
      <w:r>
        <w:rPr>
          <w:rFonts w:ascii="Arial" w:eastAsia="Times New Roman" w:hAnsi="Arial" w:cs="Arial"/>
          <w:sz w:val="40"/>
          <w:szCs w:val="40"/>
          <w:lang w:val="en-US"/>
        </w:rPr>
        <w:t xml:space="preserve">According to this Ritva, even R"E requires </w:t>
      </w:r>
      <w:r>
        <w:rPr>
          <w:rFonts w:ascii="Arial" w:eastAsia="Times New Roman" w:hAnsi="Arial" w:cs="Arial"/>
          <w:sz w:val="40"/>
          <w:szCs w:val="40"/>
          <w:rtl/>
          <w:lang w:val="en-IL"/>
        </w:rPr>
        <w:t>"כריתות"</w:t>
      </w:r>
      <w:r>
        <w:rPr>
          <w:rFonts w:ascii="Arial" w:eastAsia="Times New Roman" w:hAnsi="Arial" w:cs="Arial"/>
          <w:sz w:val="40"/>
          <w:szCs w:val="40"/>
          <w:lang w:val="en-US"/>
        </w:rPr>
        <w:t xml:space="preserve">, and admits that it's an irrevocable part of </w:t>
      </w:r>
      <w:r>
        <w:rPr>
          <w:rFonts w:ascii="Arial" w:eastAsia="Times New Roman" w:hAnsi="Arial" w:cs="Arial"/>
          <w:sz w:val="40"/>
          <w:szCs w:val="40"/>
          <w:rtl/>
          <w:lang w:val="en-IL"/>
        </w:rPr>
        <w:t>גירושין</w:t>
      </w:r>
      <w:r>
        <w:rPr>
          <w:rFonts w:ascii="Arial" w:eastAsia="Times New Roman" w:hAnsi="Arial" w:cs="Arial"/>
          <w:sz w:val="40"/>
          <w:szCs w:val="40"/>
          <w:lang w:val="en-US"/>
        </w:rPr>
        <w:t xml:space="preserve">. </w:t>
      </w:r>
    </w:p>
    <w:p w14:paraId="6F16954E" w14:textId="77777777" w:rsidR="00000000" w:rsidRDefault="009E592E">
      <w:pPr>
        <w:pStyle w:val="NormalWeb"/>
        <w:bidi/>
        <w:spacing w:before="0" w:beforeAutospacing="0" w:after="0" w:afterAutospacing="0"/>
        <w:rPr>
          <w:rFonts w:ascii="Arial" w:hAnsi="Arial" w:cs="Arial"/>
          <w:sz w:val="40"/>
          <w:szCs w:val="40"/>
          <w:lang w:val="en-IL"/>
        </w:rPr>
      </w:pPr>
      <w:r>
        <w:rPr>
          <w:rFonts w:ascii="Arial" w:hAnsi="Arial" w:cs="Arial"/>
          <w:sz w:val="40"/>
          <w:szCs w:val="40"/>
          <w:rtl/>
          <w:lang w:val="en-IL"/>
        </w:rPr>
        <w:t> </w:t>
      </w:r>
    </w:p>
    <w:p w14:paraId="506AC70C" w14:textId="77777777" w:rsidR="00000000" w:rsidRDefault="009E592E">
      <w:pPr>
        <w:pStyle w:val="NormalWeb"/>
        <w:bidi/>
        <w:spacing w:before="0" w:beforeAutospacing="0" w:after="0" w:afterAutospacing="0"/>
        <w:rPr>
          <w:rFonts w:ascii="Arial" w:hAnsi="Arial" w:cs="Arial"/>
          <w:sz w:val="40"/>
          <w:szCs w:val="40"/>
          <w:rtl/>
          <w:lang w:val="en-IL"/>
        </w:rPr>
      </w:pPr>
      <w:r>
        <w:rPr>
          <w:rFonts w:ascii="Arial" w:hAnsi="Arial" w:cs="Arial"/>
          <w:noProof/>
          <w:sz w:val="40"/>
          <w:szCs w:val="40"/>
          <w:lang w:val="en-IL"/>
        </w:rPr>
        <w:drawing>
          <wp:inline distT="0" distB="0" distL="0" distR="0" wp14:anchorId="0FDCEB68" wp14:editId="293FB0CD">
            <wp:extent cx="14868525" cy="8134350"/>
            <wp:effectExtent l="0" t="0" r="9525" b="0"/>
            <wp:docPr id="1" name="Picture 1" descr="ـ ل &#10;ل &#10;لك كك لـ لك لـ &#10;ل. لـلـ لـ لـ ل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ـ ل &#10;ل &#10;لك كك لـ لك لـ &#10;ل. لـلـ لـ لـ لـ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68525" cy="8134350"/>
                    </a:xfrm>
                    <a:prstGeom prst="rect">
                      <a:avLst/>
                    </a:prstGeom>
                    <a:noFill/>
                    <a:ln>
                      <a:noFill/>
                    </a:ln>
                  </pic:spPr>
                </pic:pic>
              </a:graphicData>
            </a:graphic>
          </wp:inline>
        </w:drawing>
      </w:r>
    </w:p>
    <w:p w14:paraId="2B62FEFD" w14:textId="77777777" w:rsidR="00000000" w:rsidRDefault="009E592E">
      <w:pPr>
        <w:pStyle w:val="NormalWeb"/>
        <w:bidi/>
        <w:spacing w:before="0" w:beforeAutospacing="0" w:after="0" w:afterAutospacing="0"/>
        <w:rPr>
          <w:rFonts w:ascii="Arial" w:hAnsi="Arial" w:cs="Arial"/>
          <w:sz w:val="40"/>
          <w:szCs w:val="40"/>
          <w:rtl/>
          <w:lang w:val="en-IL"/>
        </w:rPr>
      </w:pPr>
      <w:r>
        <w:rPr>
          <w:rFonts w:ascii="Arial" w:hAnsi="Arial" w:cs="Arial"/>
          <w:sz w:val="40"/>
          <w:szCs w:val="40"/>
          <w:rtl/>
          <w:lang w:val="en-IL"/>
        </w:rPr>
        <w:t> </w:t>
      </w:r>
    </w:p>
    <w:sectPr w:rsidR="000000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A1C86"/>
    <w:multiLevelType w:val="multilevel"/>
    <w:tmpl w:val="D29E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oNotDisplayPageBoundaries/>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E592E"/>
    <w:rsid w:val="009E592E"/>
  </w:rsids>
  <m:mathPr>
    <m:mathFont m:val="Cambria Math"/>
    <m:brkBin m:val="before"/>
    <m:brkBinSub m:val="--"/>
    <m:smallFrac m:val="0"/>
    <m:dispDef/>
    <m:lMargin m:val="0"/>
    <m:rMargin m:val="0"/>
    <m:defJc m:val="centerGroup"/>
    <m:wrapIndent m:val="1440"/>
    <m:intLim m:val="subSup"/>
    <m:naryLim m:val="undOvr"/>
  </m:mathPr>
  <w:themeFontLang w:val="en-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18A3B"/>
  <w15:chartTrackingRefBased/>
  <w15:docId w15:val="{50005383-DB01-4F82-BAD8-3F307CB6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Avigdor Rosensweig</dc:creator>
  <cp:keywords/>
  <dc:description/>
  <cp:lastModifiedBy>Avigdor Rosensweig</cp:lastModifiedBy>
  <cp:revision>2</cp:revision>
  <dcterms:created xsi:type="dcterms:W3CDTF">2018-10-07T18:11:00Z</dcterms:created>
  <dcterms:modified xsi:type="dcterms:W3CDTF">2018-10-07T18:11:00Z</dcterms:modified>
</cp:coreProperties>
</file>