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spacing w:after="0" w:before="0" w:line="240" w:lineRule="auto"/>
        <w:jc w:val="both"/>
        <w:rPr>
          <w:sz w:val="44"/>
          <w:szCs w:val="44"/>
        </w:rPr>
      </w:pPr>
      <w:bookmarkStart w:colFirst="0" w:colLast="0" w:name="_2rhwaaoobrd" w:id="0"/>
      <w:bookmarkEnd w:id="0"/>
      <w:r w:rsidDel="00000000" w:rsidR="00000000" w:rsidRPr="00000000">
        <w:rPr>
          <w:sz w:val="44"/>
          <w:szCs w:val="44"/>
          <w:rtl w:val="1"/>
        </w:rPr>
        <w:t xml:space="preserve">ברכות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לא</w:t>
      </w:r>
      <w:r w:rsidDel="00000000" w:rsidR="00000000" w:rsidRPr="00000000">
        <w:rPr>
          <w:sz w:val="44"/>
          <w:szCs w:val="44"/>
          <w:rtl w:val="1"/>
        </w:rPr>
        <w:t xml:space="preserve"> - </w:t>
      </w:r>
      <w:r w:rsidDel="00000000" w:rsidR="00000000" w:rsidRPr="00000000">
        <w:rPr>
          <w:sz w:val="44"/>
          <w:szCs w:val="44"/>
          <w:rtl w:val="1"/>
        </w:rPr>
        <w:t xml:space="preserve">הכנת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הראש</w:t>
      </w:r>
      <w:r w:rsidDel="00000000" w:rsidR="00000000" w:rsidRPr="00000000">
        <w:rPr>
          <w:sz w:val="44"/>
          <w:szCs w:val="44"/>
          <w:rtl w:val="1"/>
        </w:rPr>
        <w:t xml:space="preserve"> </w:t>
      </w:r>
      <w:r w:rsidDel="00000000" w:rsidR="00000000" w:rsidRPr="00000000">
        <w:rPr>
          <w:sz w:val="44"/>
          <w:szCs w:val="44"/>
          <w:rtl w:val="1"/>
        </w:rPr>
        <w:t xml:space="preserve">לתפילה</w:t>
      </w:r>
    </w:p>
    <w:p w:rsidR="00000000" w:rsidDel="00000000" w:rsidP="00000000" w:rsidRDefault="00000000" w:rsidRPr="00000000" w14:paraId="00000002">
      <w:pPr>
        <w:pStyle w:val="Heading3"/>
        <w:bidi w:val="1"/>
        <w:spacing w:after="0" w:before="0" w:line="240" w:lineRule="auto"/>
        <w:jc w:val="both"/>
        <w:rPr/>
      </w:pPr>
      <w:bookmarkStart w:colFirst="0" w:colLast="0" w:name="_n9e7kyekevav" w:id="1"/>
      <w:bookmarkEnd w:id="1"/>
      <w:r w:rsidDel="00000000" w:rsidR="00000000" w:rsidRPr="00000000">
        <w:rPr>
          <w:rtl w:val="1"/>
        </w:rPr>
        <w:t xml:space="preserve">שמחה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03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ועיין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תוס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שמלאי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יסדר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שבחו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יתפלל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דכתיב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אלהים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בתריה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אעברה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וגרסינן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יוסי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חלקי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גומרי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מחרף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ומגדף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בפסוקי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דזמרה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וישתבח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מיבעי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לאיניש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לאשתעויי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מתחיל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בברוך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דמסיים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לשמונה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04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תפלה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צג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</w:t>
      </w:r>
    </w:p>
    <w:p w:rsidR="00000000" w:rsidDel="00000000" w:rsidP="00000000" w:rsidRDefault="00000000" w:rsidRPr="00000000" w14:paraId="00000006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להתפלל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טרוד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פסוקה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הגה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פקודי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משמחי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תהילים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)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המובחר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והכנעה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ליזהר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להכניס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הכנעה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יתפלל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]: </w:t>
        <w:tab/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פסוקה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מחלוקת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יטרד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בפלפול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והתחילו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הצבור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להתפלל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יתפלל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ובפרט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עכשיו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מכוונים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הזהירו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לכתחלה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יעסוק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בפלפול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i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i w:val="1"/>
          <w:sz w:val="24"/>
          <w:szCs w:val="24"/>
          <w:rtl w:val="1"/>
        </w:rPr>
        <w:t xml:space="preserve">עיין</w:t>
      </w:r>
      <w:r w:rsidDel="00000000" w:rsidR="00000000" w:rsidRPr="00000000">
        <w:rPr>
          <w:rFonts w:ascii="David Libre" w:cs="David Libre" w:eastAsia="David Libre" w:hAnsi="David Libre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i w:val="1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David Libre" w:cs="David Libre" w:eastAsia="David Libre" w:hAnsi="David Libre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i w:val="1"/>
          <w:sz w:val="24"/>
          <w:szCs w:val="24"/>
          <w:rtl w:val="1"/>
        </w:rPr>
        <w:t xml:space="preserve">שיעורים</w:t>
      </w:r>
      <w:r w:rsidDel="00000000" w:rsidR="00000000" w:rsidRPr="00000000">
        <w:rPr>
          <w:rFonts w:ascii="David Libre" w:cs="David Libre" w:eastAsia="David Libre" w:hAnsi="David Libre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i w:val="1"/>
          <w:sz w:val="24"/>
          <w:szCs w:val="24"/>
          <w:rtl w:val="1"/>
        </w:rPr>
        <w:t xml:space="preserve">להגרי</w:t>
      </w:r>
      <w:r w:rsidDel="00000000" w:rsidR="00000000" w:rsidRPr="00000000">
        <w:rPr>
          <w:rFonts w:ascii="David Libre" w:cs="David Libre" w:eastAsia="David Libre" w:hAnsi="David Libre"/>
          <w:b w:val="1"/>
          <w:i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i w:val="1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0A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commentRangeStart w:id="0"/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החמישית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שצונו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לעבדו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ולעבדו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ולעבדו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תלמוד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commentRangeStart w:id="1"/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2.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תלמוד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יג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יזהר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לילותיו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יאבד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ואכילה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ושתיה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ושיחה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וכיוצא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בתלמוד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בלילה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קומי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רוני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בלילה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חסד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נמשך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יומם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חסדו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ובלילה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שיר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השירים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וילנא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יוחנן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יוחנן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גרנה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ותקם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בלילה</w:t>
      </w:r>
    </w:p>
    <w:p w:rsidR="00000000" w:rsidDel="00000000" w:rsidP="00000000" w:rsidRDefault="00000000" w:rsidRPr="00000000" w14:paraId="0000000F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commentRangeStart w:id="2"/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3.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קריאת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פרשיות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ומקדימין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לקרות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פרשת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יחוד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ואהבתו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ותלמודו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תלוי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ואחריה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זכירת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ציצית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זכירת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מיימוניות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תפילה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ונשיאת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כפים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13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בערוך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גאון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כנישתא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ואשכח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דגמרו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ציבורא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פסוקי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דזמרה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וחותם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ומהולל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בתשבחות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תהלה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פסוקי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דזמרה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נתקנו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pStyle w:val="Heading3"/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bookmarkStart w:colFirst="0" w:colLast="0" w:name="_1ebwkawpcesy" w:id="2"/>
      <w:bookmarkEnd w:id="2"/>
      <w:r w:rsidDel="00000000" w:rsidR="00000000" w:rsidRPr="00000000">
        <w:rPr>
          <w:rtl w:val="1"/>
        </w:rPr>
        <w:t xml:space="preserve">ש</w:t>
      </w:r>
      <w:commentRangeStart w:id="3"/>
      <w:r w:rsidDel="00000000" w:rsidR="00000000" w:rsidRPr="00000000">
        <w:rPr>
          <w:rtl w:val="1"/>
        </w:rPr>
        <w:t xml:space="preserve">כרות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80"/>
        <w:gridCol w:w="4905"/>
        <w:tblGridChange w:id="0">
          <w:tblGrid>
            <w:gridCol w:w="5580"/>
            <w:gridCol w:w="4905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bidi w:val="1"/>
              <w:spacing w:after="0" w:before="0"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רמב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הלכות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ביאת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המקדש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פרק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א</w:t>
            </w:r>
          </w:p>
          <w:p w:rsidR="00000000" w:rsidDel="00000000" w:rsidP="00000000" w:rsidRDefault="00000000" w:rsidRPr="00000000" w14:paraId="00000016">
            <w:pPr>
              <w:bidi w:val="1"/>
              <w:spacing w:after="0" w:before="0"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כהן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הכשר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לעבודה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שתה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אסור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להכנס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...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והוא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ששתה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רביעית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בבת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אחת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...,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אבל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שתה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פחות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מרביעית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שתה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רביעית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והפסיק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...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חייב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מיתה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ופוסל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העבודה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 -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שכור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משאר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משקין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המשכרין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אסור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להכנס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למקדש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נכנס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ועבד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והוא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שכור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משאר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משקין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המשכרין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...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לוקה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ועבודתו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כשרה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שאין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חייבין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מיתה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היין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בשעת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עבודה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מחלל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עבודה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שכור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היין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bidi w:val="1"/>
              <w:spacing w:after="0" w:before="0"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רמב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הלכות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תפילה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ונשיאת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כפים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יז</w:t>
            </w:r>
          </w:p>
          <w:p w:rsidR="00000000" w:rsidDel="00000000" w:rsidP="00000000" w:rsidRDefault="00000000" w:rsidRPr="00000000" w14:paraId="00000018">
            <w:pPr>
              <w:bidi w:val="1"/>
              <w:spacing w:after="0" w:before="0" w:line="240" w:lineRule="auto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שכור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יתפלל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מפני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שאין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כוונה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התפלל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תפלתו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תועבה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לפיכך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חוזר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ומתפלל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כשיתרוקן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משכרותו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שתוי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יתפלל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התפלל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תפלתו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תפלה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שכור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שאינו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לדבר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לפני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המלך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שתוי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לדבר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בפני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המלך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משתבש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הואיל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ושתה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רביעית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יתפלל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שיסיר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מעליו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C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ושתוי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הזכירו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קורין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ויוצאין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חובתן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דטעמא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דבעיא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כוונה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יתירה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ומצינו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לכוונה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חמיר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1D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5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60"/>
        <w:gridCol w:w="4440"/>
        <w:tblGridChange w:id="0">
          <w:tblGrid>
            <w:gridCol w:w="6060"/>
            <w:gridCol w:w="4440"/>
          </w:tblGrid>
        </w:tblGridChange>
      </w:tblGrid>
      <w:t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bidi w:val="1"/>
              <w:spacing w:after="0" w:before="0"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רמב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הלכות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תפילה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ונשיאת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כפים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טו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ד</w:t>
            </w:r>
          </w:p>
          <w:p w:rsidR="00000000" w:rsidDel="00000000" w:rsidP="00000000" w:rsidRDefault="00000000" w:rsidRPr="00000000" w14:paraId="0000001F">
            <w:pPr>
              <w:bidi w:val="1"/>
              <w:spacing w:after="0" w:before="0"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והיין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כיצד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ששתה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רביעית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בבת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אחת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נושא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כפיו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שיסיר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מעליו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לפי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שהוקשה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ברכה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לעבודה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שתה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רביעית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בשתי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פעמים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שנתן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לתוכו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מעט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מותר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שתה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יותר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מרביעית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מזוג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ששתאו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בכמה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פעמים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ישא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כפיו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שיסיר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מעליו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bidi w:val="1"/>
              <w:spacing w:after="0" w:before="0"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שולחן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ערוך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אורה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קכח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לח</w:t>
            </w:r>
          </w:p>
          <w:p w:rsidR="00000000" w:rsidDel="00000000" w:rsidP="00000000" w:rsidRDefault="00000000" w:rsidRPr="00000000" w14:paraId="00000021">
            <w:pPr>
              <w:bidi w:val="1"/>
              <w:spacing w:after="0" w:before="0" w:line="240" w:lineRule="auto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שתה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רביעית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בבת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אחת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ישא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כפיו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;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שתאן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בשני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פעמים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שנתן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לתוכו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מעט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מותר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;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שתה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יותר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מרביעית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שהוא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מזוג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ואפילו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שתאו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בכמה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פעמים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ישא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כפיו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שיסיר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מעליו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קכח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לה</w:t>
      </w:r>
    </w:p>
    <w:p w:rsidR="00000000" w:rsidDel="00000000" w:rsidP="00000000" w:rsidRDefault="00000000" w:rsidRPr="00000000" w14:paraId="00000024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דלגבי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דמקדש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ועבודתו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בעבודה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לדוכן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מפורש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לכהן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לשתות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מגן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קכח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לח</w:t>
      </w:r>
    </w:p>
    <w:p w:rsidR="00000000" w:rsidDel="00000000" w:rsidP="00000000" w:rsidRDefault="00000000" w:rsidRPr="00000000" w14:paraId="00000027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רביעית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שהגיע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לשכרותו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כפיו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ונכוני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ילפינן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מנזיר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בנזיר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מונעי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רביעית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בעבודה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משקין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רשאי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לישא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כפיו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תפלה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צט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רביעית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יתפלל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שיסיר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התפלל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תפלתו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התפלל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תפלתו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תועבה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ולהתפלל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כשיסיר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שאחריה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שוגג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הגה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שכור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מרדכי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מיימוני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מהלכות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 w14:paraId="0000002A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אורח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תפלה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צט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C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המשכרים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נשיאת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כפים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דמיקל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בנשיאת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כפים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מסתברא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דתפילה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חמירא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רביעית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ברביעית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D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יתפלל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דעכשיו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מכונין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המתנתו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תפלה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E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בביאור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להחמיר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לכתחילה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בשיכור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במשבצות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לשכרותו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כשוטה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יחשב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לגמרי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בדיעבד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ובירך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מיפטר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ולקרות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2F">
      <w:pPr>
        <w:bidi w:val="1"/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63.9999999999999" w:top="863.9999999999999" w:left="863.9999999999999" w:right="863.9999999999999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ni Schreiber" w:id="2" w:date="2020-02-02T19:50:13Z"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Torah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מלכות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necessary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before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Tefillah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</w:comment>
  <w:comment w:author="Dani Schreiber" w:id="3" w:date="2020-02-03T16:42:19Z"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הכנעה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צער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לכסות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</w:t>
      </w:r>
    </w:p>
  </w:comment>
  <w:comment w:author="Dani Schreiber" w:id="1" w:date="2020-02-02T19:49:42Z"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Grid: Learning is a form of tefillah because you are praising Hashem by learning His torah.</w:t>
      </w:r>
    </w:p>
  </w:comment>
  <w:comment w:author="Dani Schreiber" w:id="0" w:date="2020-02-02T19:44:41Z"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Grid: First serve with Torah and then with Tefillah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