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70" w:rsidRPr="00773116" w:rsidRDefault="00FC2AF8" w:rsidP="00FC2AF8">
      <w:pPr>
        <w:pStyle w:val="Title"/>
        <w:bidi/>
        <w:rPr>
          <w:rFonts w:ascii="David" w:hAnsi="David" w:cs="David"/>
          <w:rtl/>
          <w:lang w:bidi="he-IL"/>
        </w:rPr>
      </w:pPr>
      <w:r w:rsidRPr="00773116">
        <w:rPr>
          <w:rFonts w:ascii="David" w:hAnsi="David" w:cs="David"/>
          <w:rtl/>
          <w:lang w:bidi="he-IL"/>
        </w:rPr>
        <w:t>בבא מציעא לז – פקדון וגזל, ברי ושמא</w:t>
      </w:r>
    </w:p>
    <w:p w:rsidR="004C0FB5" w:rsidRPr="00773116" w:rsidRDefault="004C0FB5" w:rsidP="004C0FB5">
      <w:pPr>
        <w:bidi/>
        <w:rPr>
          <w:rFonts w:ascii="David" w:hAnsi="David" w:cs="David"/>
          <w:b/>
          <w:bCs/>
          <w:rtl/>
          <w:lang w:bidi="he-IL"/>
        </w:rPr>
      </w:pPr>
      <w:r w:rsidRPr="00773116">
        <w:rPr>
          <w:rFonts w:ascii="David" w:hAnsi="David" w:cs="David"/>
          <w:b/>
          <w:bCs/>
          <w:rtl/>
          <w:lang w:bidi="he-IL"/>
        </w:rPr>
        <w:t xml:space="preserve">חידושי הרמב"ן מסכת בבא מציעא דף לז עמוד א </w:t>
      </w:r>
    </w:p>
    <w:p w:rsidR="00651107" w:rsidRPr="00773116" w:rsidRDefault="004C0FB5" w:rsidP="00DF4870">
      <w:pPr>
        <w:bidi/>
        <w:rPr>
          <w:rFonts w:ascii="David" w:hAnsi="David" w:cs="David"/>
        </w:rPr>
      </w:pPr>
      <w:r w:rsidRPr="00773116">
        <w:rPr>
          <w:rFonts w:ascii="David" w:hAnsi="David" w:cs="David"/>
          <w:rtl/>
          <w:lang w:bidi="he-IL"/>
        </w:rPr>
        <w:t xml:space="preserve">ואיכא דרמי אשמעתין זה אומר מאתים שלי וזה אומר מאתים שלי נפקד מחויב שבועה שאינו יכול לישבע הוא, וליכא למימר בהילך דפטור דהא לא דייקינן למ"ד הילך חייב תקשי, </w:t>
      </w:r>
      <w:r w:rsidRPr="00773116">
        <w:rPr>
          <w:rFonts w:ascii="David" w:hAnsi="David" w:cs="David"/>
          <w:u w:val="single"/>
          <w:rtl/>
          <w:lang w:bidi="he-IL"/>
        </w:rPr>
        <w:t>ומסתברא דליכא הכא דין שבועה דלא רמא רחמנא שבועה אלא לכופר ומעכב ממון חבירו לעצמו דלישתבע כי היכי דלודי, והאי מודה הוא והיכי רמית שבועה עליה</w:t>
      </w:r>
      <w:r w:rsidRPr="00773116">
        <w:rPr>
          <w:rFonts w:ascii="David" w:hAnsi="David" w:cs="David"/>
          <w:rtl/>
          <w:lang w:bidi="he-IL"/>
        </w:rPr>
        <w:t xml:space="preserve">. </w:t>
      </w:r>
      <w:r w:rsidR="00651107" w:rsidRPr="00773116">
        <w:rPr>
          <w:rFonts w:ascii="David" w:hAnsi="David" w:cs="David"/>
          <w:u w:val="single"/>
          <w:rtl/>
          <w:lang w:bidi="he-IL"/>
        </w:rPr>
        <w:t>עוד יש לומר דעיקר טענה וכפירה דהני בין המפקידים היא דנפקד הא מודה בחיובו</w:t>
      </w:r>
      <w:r w:rsidR="00651107" w:rsidRPr="00773116">
        <w:rPr>
          <w:rFonts w:ascii="David" w:hAnsi="David" w:cs="David"/>
          <w:rtl/>
          <w:lang w:bidi="he-IL"/>
        </w:rPr>
        <w:t>, ומה נפשך אי דינא מניח ביניהם ומסתלק הוא דהיינו חזרה דמחויב בה, הא קא מודה בחיוביה, ואי דינא משלם לכל אחד הוא לימא ליה מר שלים</w:t>
      </w:r>
      <w:r w:rsidR="00DF4870" w:rsidRPr="00773116">
        <w:rPr>
          <w:rFonts w:ascii="David" w:hAnsi="David" w:cs="David"/>
          <w:rtl/>
          <w:lang w:bidi="he-IL"/>
        </w:rPr>
        <w:t>.</w:t>
      </w:r>
    </w:p>
    <w:p w:rsidR="00D92FE1" w:rsidRPr="00773116" w:rsidRDefault="00D92FE1" w:rsidP="00D92FE1">
      <w:pPr>
        <w:bidi/>
        <w:rPr>
          <w:rFonts w:ascii="David" w:hAnsi="David" w:cs="David"/>
          <w:rtl/>
          <w:lang w:bidi="he-IL"/>
        </w:rPr>
      </w:pPr>
    </w:p>
    <w:p w:rsidR="00D92FE1" w:rsidRPr="00773116" w:rsidRDefault="00D92FE1" w:rsidP="00D92FE1">
      <w:pPr>
        <w:bidi/>
        <w:rPr>
          <w:rFonts w:ascii="David" w:hAnsi="David" w:cs="David"/>
          <w:b/>
          <w:bCs/>
          <w:rtl/>
          <w:lang w:bidi="he-IL"/>
        </w:rPr>
      </w:pPr>
      <w:r w:rsidRPr="00773116">
        <w:rPr>
          <w:rFonts w:ascii="David" w:hAnsi="David" w:cs="David"/>
          <w:b/>
          <w:bCs/>
          <w:rtl/>
          <w:lang w:bidi="he-IL"/>
        </w:rPr>
        <w:t xml:space="preserve">חידושי הרשב"א מסכת בבא מציעא דף לז עמוד א </w:t>
      </w:r>
    </w:p>
    <w:p w:rsidR="00651107" w:rsidRPr="00773116" w:rsidRDefault="00DF4870" w:rsidP="00DF4870">
      <w:pPr>
        <w:bidi/>
        <w:rPr>
          <w:rFonts w:ascii="David" w:hAnsi="David" w:cs="David"/>
          <w:rtl/>
          <w:lang w:bidi="he-IL"/>
        </w:rPr>
      </w:pPr>
      <w:r w:rsidRPr="00773116">
        <w:rPr>
          <w:rFonts w:ascii="David" w:hAnsi="David" w:cs="David"/>
          <w:rtl/>
          <w:lang w:bidi="he-IL"/>
        </w:rPr>
        <w:t xml:space="preserve">מסתברא דעיקר טעמא הכא משום דהו"ל כמו שהפקידו לו בכרך אחד דלא הו"ל למידק כדאיתא בגמ', דמחויב שבועה שאינו יכול לישבע דמשלם היינו טעמא משום </w:t>
      </w:r>
      <w:r w:rsidRPr="00773116">
        <w:rPr>
          <w:rFonts w:ascii="David" w:hAnsi="David" w:cs="David"/>
          <w:u w:val="single"/>
          <w:rtl/>
          <w:lang w:bidi="he-IL"/>
        </w:rPr>
        <w:t>דכיון דעליה דידיה רמי למידע ולא ידע חשבינן ליה פושע דכל לא ידענא פשיעותא היא ומשלם אבל הכא אומר להם מה שהנחתם טלו</w:t>
      </w:r>
      <w:r w:rsidRPr="00773116">
        <w:rPr>
          <w:rFonts w:ascii="David" w:hAnsi="David" w:cs="David"/>
          <w:rtl/>
          <w:lang w:bidi="he-IL"/>
        </w:rPr>
        <w:t>, דכיון דלא הוה ליה למידק ואפי' לדברי שניהם, לאו פשיעה היא ופטור.</w:t>
      </w:r>
    </w:p>
    <w:p w:rsidR="00DF4870" w:rsidRPr="00773116" w:rsidRDefault="00DF4870" w:rsidP="00DF4870">
      <w:pPr>
        <w:bidi/>
        <w:rPr>
          <w:rFonts w:ascii="David" w:hAnsi="David" w:cs="David"/>
          <w:rtl/>
          <w:lang w:bidi="he-IL"/>
        </w:rPr>
      </w:pPr>
    </w:p>
    <w:p w:rsidR="00651107" w:rsidRPr="00773116" w:rsidRDefault="00651107" w:rsidP="00651107">
      <w:pPr>
        <w:bidi/>
        <w:rPr>
          <w:rFonts w:ascii="David" w:hAnsi="David" w:cs="David"/>
          <w:b/>
          <w:bCs/>
          <w:rtl/>
          <w:lang w:bidi="he-IL"/>
        </w:rPr>
      </w:pPr>
      <w:r w:rsidRPr="00773116">
        <w:rPr>
          <w:rFonts w:ascii="David" w:hAnsi="David" w:cs="David"/>
          <w:b/>
          <w:bCs/>
          <w:rtl/>
          <w:lang w:bidi="he-IL"/>
        </w:rPr>
        <w:t xml:space="preserve">נתיבות המשפט ביאורים סימן עו </w:t>
      </w:r>
    </w:p>
    <w:p w:rsidR="00651107" w:rsidRPr="00773116" w:rsidRDefault="00651107" w:rsidP="00DF4870">
      <w:pPr>
        <w:bidi/>
        <w:rPr>
          <w:rFonts w:ascii="David" w:hAnsi="David" w:cs="David"/>
          <w:rtl/>
          <w:lang w:bidi="he-IL"/>
        </w:rPr>
      </w:pPr>
      <w:r w:rsidRPr="00773116">
        <w:rPr>
          <w:rFonts w:ascii="David" w:hAnsi="David" w:cs="David"/>
          <w:rtl/>
          <w:lang w:bidi="he-IL"/>
        </w:rPr>
        <w:t>לכן נראה, דאפילו בטוען ברי אינו מחויב שבועה דאורייתא, דהא אפילו מודה מקצת גמור היה לנו לפוטרו משום חזקה אין אדם מעיז, רק משום דאשתמוטי קא משתמיט וכדרבה כמו שכתבו התוס' בב"מ ג' [ע"ב] ד"ה בכולי בעי דלודי ליה, משו"</w:t>
      </w:r>
      <w:r w:rsidRPr="00773116">
        <w:rPr>
          <w:rFonts w:ascii="David" w:hAnsi="David" w:cs="David"/>
          <w:u w:val="single"/>
          <w:rtl/>
          <w:lang w:bidi="he-IL"/>
        </w:rPr>
        <w:t>ה בכאן דאין הכפירה לצורך עצמו רק לצורך חבירו, שטוען שחבירו הוא בעל הר', דהא שניהם מודים שלא הלוו לו ביחד רק ש'</w:t>
      </w:r>
      <w:r w:rsidRPr="00773116">
        <w:rPr>
          <w:rFonts w:ascii="David" w:hAnsi="David" w:cs="David"/>
          <w:rtl/>
          <w:lang w:bidi="he-IL"/>
        </w:rPr>
        <w:t xml:space="preserve">, רק שהודיעוהו מי הוא בעל הר', </w:t>
      </w:r>
      <w:r w:rsidRPr="00773116">
        <w:rPr>
          <w:rFonts w:ascii="David" w:hAnsi="David" w:cs="David"/>
          <w:u w:val="single"/>
          <w:rtl/>
          <w:lang w:bidi="he-IL"/>
        </w:rPr>
        <w:t>לא שייך כלל סברא דאשתמוטי, וגם יש לו חזקה דאין אדם חוטא ולא לו</w:t>
      </w:r>
      <w:r w:rsidRPr="00773116">
        <w:rPr>
          <w:rFonts w:ascii="David" w:hAnsi="David" w:cs="David"/>
          <w:rtl/>
          <w:lang w:bidi="he-IL"/>
        </w:rPr>
        <w:t xml:space="preserve">, דדמי קצת לשליש וכמעיד לחבירו דמי, משו"ה אין צריך לישבע שבועה דאורייתא בטוען ברי, ממילא בטוען איני יודע לא הוי מחויב שבועה ואינו יכול לישבע משלם. </w:t>
      </w:r>
    </w:p>
    <w:p w:rsidR="00DF4870" w:rsidRPr="00773116" w:rsidRDefault="00DF4870" w:rsidP="00DF4870">
      <w:pPr>
        <w:bidi/>
        <w:rPr>
          <w:rFonts w:ascii="David" w:hAnsi="David" w:cs="David"/>
          <w:rtl/>
          <w:lang w:bidi="he-IL"/>
        </w:rPr>
      </w:pPr>
    </w:p>
    <w:p w:rsidR="00DF4870" w:rsidRPr="00773116" w:rsidRDefault="00DF4870" w:rsidP="00DF4870">
      <w:pPr>
        <w:bidi/>
        <w:rPr>
          <w:rFonts w:ascii="David" w:hAnsi="David" w:cs="David"/>
          <w:b/>
          <w:bCs/>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4428"/>
      </w:tblGrid>
      <w:tr w:rsidR="00786BA2" w:rsidRPr="00773116" w:rsidTr="00B64BEC">
        <w:tc>
          <w:tcPr>
            <w:tcW w:w="4428" w:type="dxa"/>
          </w:tcPr>
          <w:p w:rsidR="00786BA2" w:rsidRPr="00773116" w:rsidRDefault="00773116" w:rsidP="00786BA2">
            <w:pPr>
              <w:bidi/>
              <w:rPr>
                <w:rFonts w:ascii="David" w:hAnsi="David" w:cs="David"/>
                <w:rtl/>
                <w:lang w:bidi="he-IL"/>
              </w:rPr>
            </w:pPr>
            <w:r w:rsidRPr="00773116">
              <w:rPr>
                <w:rFonts w:ascii="David" w:hAnsi="David" w:cs="David"/>
                <w:b/>
                <w:bCs/>
                <w:rtl/>
                <w:lang w:bidi="he-IL"/>
              </w:rPr>
              <w:t>ברכת אברהם</w:t>
            </w:r>
            <w:r w:rsidRPr="00773116">
              <w:rPr>
                <w:rFonts w:ascii="David" w:hAnsi="David" w:cs="David"/>
                <w:noProof/>
                <w:lang w:bidi="he-IL"/>
              </w:rPr>
              <w:t xml:space="preserve"> </w:t>
            </w:r>
            <w:commentRangeStart w:id="0"/>
            <w:r w:rsidR="00786BA2" w:rsidRPr="00773116">
              <w:rPr>
                <w:rFonts w:ascii="David" w:hAnsi="David" w:cs="David"/>
                <w:noProof/>
                <w:lang w:bidi="he-IL"/>
              </w:rPr>
              <w:drawing>
                <wp:inline distT="0" distB="0" distL="0" distR="0" wp14:anchorId="2DA43832" wp14:editId="100CA1D8">
                  <wp:extent cx="2400300" cy="5984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13134" cy="601631"/>
                          </a:xfrm>
                          <a:prstGeom prst="rect">
                            <a:avLst/>
                          </a:prstGeom>
                        </pic:spPr>
                      </pic:pic>
                    </a:graphicData>
                  </a:graphic>
                </wp:inline>
              </w:drawing>
            </w:r>
            <w:commentRangeEnd w:id="0"/>
            <w:r w:rsidRPr="00773116">
              <w:rPr>
                <w:rStyle w:val="CommentReference"/>
                <w:rFonts w:ascii="David" w:hAnsi="David" w:cs="David"/>
                <w:rtl/>
              </w:rPr>
              <w:commentReference w:id="0"/>
            </w:r>
          </w:p>
          <w:p w:rsidR="00786BA2" w:rsidRPr="00773116" w:rsidRDefault="00786BA2" w:rsidP="00786BA2">
            <w:pPr>
              <w:bidi/>
              <w:rPr>
                <w:rFonts w:ascii="David" w:hAnsi="David" w:cs="David"/>
                <w:rtl/>
                <w:lang w:bidi="he-IL"/>
              </w:rPr>
            </w:pPr>
            <w:r w:rsidRPr="00773116">
              <w:rPr>
                <w:rFonts w:ascii="David" w:hAnsi="David" w:cs="David"/>
                <w:noProof/>
                <w:lang w:bidi="he-IL"/>
              </w:rPr>
              <w:drawing>
                <wp:inline distT="0" distB="0" distL="0" distR="0" wp14:anchorId="4FA9A07A" wp14:editId="397E4D53">
                  <wp:extent cx="2311400" cy="2597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14164" cy="2601042"/>
                          </a:xfrm>
                          <a:prstGeom prst="rect">
                            <a:avLst/>
                          </a:prstGeom>
                        </pic:spPr>
                      </pic:pic>
                    </a:graphicData>
                  </a:graphic>
                </wp:inline>
              </w:drawing>
            </w:r>
          </w:p>
        </w:tc>
        <w:tc>
          <w:tcPr>
            <w:tcW w:w="4428" w:type="dxa"/>
          </w:tcPr>
          <w:p w:rsidR="00786BA2" w:rsidRPr="00773116" w:rsidRDefault="00786BA2" w:rsidP="00786BA2">
            <w:pPr>
              <w:bidi/>
              <w:rPr>
                <w:rFonts w:ascii="David" w:hAnsi="David" w:cs="David"/>
                <w:rtl/>
                <w:lang w:bidi="he-IL"/>
              </w:rPr>
            </w:pPr>
            <w:r w:rsidRPr="00773116">
              <w:rPr>
                <w:rFonts w:ascii="David" w:hAnsi="David" w:cs="David"/>
                <w:noProof/>
                <w:lang w:bidi="he-IL"/>
              </w:rPr>
              <w:drawing>
                <wp:inline distT="0" distB="0" distL="0" distR="0" wp14:anchorId="3D693D4C" wp14:editId="096165C7">
                  <wp:extent cx="2480460" cy="2889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83186" cy="2892426"/>
                          </a:xfrm>
                          <a:prstGeom prst="rect">
                            <a:avLst/>
                          </a:prstGeom>
                        </pic:spPr>
                      </pic:pic>
                    </a:graphicData>
                  </a:graphic>
                </wp:inline>
              </w:drawing>
            </w:r>
          </w:p>
        </w:tc>
      </w:tr>
    </w:tbl>
    <w:p w:rsidR="00773116" w:rsidRDefault="00773116" w:rsidP="00786BA2">
      <w:pPr>
        <w:bidi/>
        <w:rPr>
          <w:rFonts w:ascii="David" w:hAnsi="David" w:cs="David"/>
          <w:rtl/>
          <w:lang w:bidi="he-IL"/>
        </w:rPr>
      </w:pPr>
    </w:p>
    <w:p w:rsidR="00773116" w:rsidRDefault="00773116" w:rsidP="00773116">
      <w:pPr>
        <w:rPr>
          <w:rtl/>
          <w:lang w:bidi="he-IL"/>
        </w:rPr>
      </w:pPr>
      <w:r>
        <w:rPr>
          <w:rtl/>
          <w:lang w:bidi="he-I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4428"/>
      </w:tblGrid>
      <w:tr w:rsidR="004F393D" w:rsidRPr="00773116" w:rsidTr="00B64BEC">
        <w:tc>
          <w:tcPr>
            <w:tcW w:w="4428" w:type="dxa"/>
          </w:tcPr>
          <w:p w:rsidR="004F393D" w:rsidRPr="00773116" w:rsidRDefault="004F393D" w:rsidP="000350C1">
            <w:pPr>
              <w:bidi/>
              <w:rPr>
                <w:rFonts w:ascii="David" w:hAnsi="David" w:cs="David"/>
                <w:b/>
                <w:bCs/>
                <w:rtl/>
                <w:lang w:bidi="he-IL"/>
              </w:rPr>
            </w:pPr>
            <w:bookmarkStart w:id="1" w:name="_GoBack"/>
            <w:commentRangeStart w:id="2"/>
            <w:r w:rsidRPr="00773116">
              <w:rPr>
                <w:rFonts w:ascii="David" w:hAnsi="David" w:cs="David"/>
                <w:b/>
                <w:bCs/>
                <w:rtl/>
                <w:lang w:bidi="he-IL"/>
              </w:rPr>
              <w:lastRenderedPageBreak/>
              <w:t>ברכת אברהם</w:t>
            </w:r>
            <w:commentRangeEnd w:id="2"/>
            <w:r w:rsidR="00773116">
              <w:rPr>
                <w:rStyle w:val="CommentReference"/>
              </w:rPr>
              <w:commentReference w:id="2"/>
            </w:r>
          </w:p>
          <w:p w:rsidR="004F393D" w:rsidRPr="00773116" w:rsidRDefault="004F393D" w:rsidP="004F393D">
            <w:pPr>
              <w:bidi/>
              <w:rPr>
                <w:rFonts w:ascii="David" w:hAnsi="David" w:cs="David"/>
                <w:b/>
                <w:bCs/>
                <w:rtl/>
                <w:lang w:bidi="he-IL"/>
              </w:rPr>
            </w:pPr>
            <w:r w:rsidRPr="00773116">
              <w:rPr>
                <w:rFonts w:ascii="David" w:hAnsi="David" w:cs="David"/>
                <w:noProof/>
                <w:lang w:bidi="he-IL"/>
              </w:rPr>
              <w:drawing>
                <wp:inline distT="0" distB="0" distL="0" distR="0" wp14:anchorId="21881654" wp14:editId="7CCD4823">
                  <wp:extent cx="2488663" cy="3644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88663" cy="3644900"/>
                          </a:xfrm>
                          <a:prstGeom prst="rect">
                            <a:avLst/>
                          </a:prstGeom>
                        </pic:spPr>
                      </pic:pic>
                    </a:graphicData>
                  </a:graphic>
                </wp:inline>
              </w:drawing>
            </w:r>
          </w:p>
          <w:p w:rsidR="004F393D" w:rsidRPr="00773116" w:rsidRDefault="004F393D" w:rsidP="004F393D">
            <w:pPr>
              <w:bidi/>
              <w:rPr>
                <w:rFonts w:ascii="David" w:hAnsi="David" w:cs="David"/>
                <w:b/>
                <w:bCs/>
                <w:rtl/>
                <w:lang w:bidi="he-IL"/>
              </w:rPr>
            </w:pPr>
            <w:r w:rsidRPr="00773116">
              <w:rPr>
                <w:rFonts w:ascii="David" w:hAnsi="David" w:cs="David"/>
                <w:noProof/>
                <w:lang w:bidi="he-IL"/>
              </w:rPr>
              <w:drawing>
                <wp:inline distT="0" distB="0" distL="0" distR="0" wp14:anchorId="6A556CAF" wp14:editId="6A376D15">
                  <wp:extent cx="2551798" cy="1866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51798" cy="1866900"/>
                          </a:xfrm>
                          <a:prstGeom prst="rect">
                            <a:avLst/>
                          </a:prstGeom>
                        </pic:spPr>
                      </pic:pic>
                    </a:graphicData>
                  </a:graphic>
                </wp:inline>
              </w:drawing>
            </w:r>
          </w:p>
        </w:tc>
        <w:tc>
          <w:tcPr>
            <w:tcW w:w="4428" w:type="dxa"/>
          </w:tcPr>
          <w:p w:rsidR="00C65199" w:rsidRPr="00773116" w:rsidRDefault="00C65199" w:rsidP="00C65199">
            <w:pPr>
              <w:bidi/>
              <w:rPr>
                <w:rFonts w:ascii="David" w:hAnsi="David" w:cs="David"/>
                <w:b/>
                <w:bCs/>
              </w:rPr>
            </w:pPr>
            <w:r w:rsidRPr="00773116">
              <w:rPr>
                <w:rFonts w:ascii="David" w:hAnsi="David" w:cs="David"/>
                <w:b/>
                <w:bCs/>
                <w:rtl/>
                <w:lang w:bidi="he-IL"/>
              </w:rPr>
              <w:t xml:space="preserve">שולחן ערוך חושן משפט </w:t>
            </w:r>
            <w:r w:rsidRPr="00773116">
              <w:rPr>
                <w:rFonts w:ascii="David" w:hAnsi="David" w:cs="David"/>
                <w:b/>
                <w:bCs/>
                <w:rtl/>
                <w:lang w:bidi="he-IL"/>
              </w:rPr>
              <w:t>שסה:</w:t>
            </w:r>
            <w:r w:rsidRPr="00773116">
              <w:rPr>
                <w:rFonts w:ascii="David" w:hAnsi="David" w:cs="David"/>
                <w:b/>
                <w:bCs/>
                <w:rtl/>
                <w:lang w:bidi="he-IL"/>
              </w:rPr>
              <w:t xml:space="preserve">ב </w:t>
            </w:r>
          </w:p>
          <w:p w:rsidR="004F393D" w:rsidRPr="00773116" w:rsidRDefault="00C65199" w:rsidP="00C65199">
            <w:pPr>
              <w:bidi/>
              <w:rPr>
                <w:rFonts w:ascii="David" w:hAnsi="David" w:cs="David"/>
                <w:rtl/>
                <w:lang w:bidi="he-IL"/>
              </w:rPr>
            </w:pPr>
            <w:r w:rsidRPr="00773116">
              <w:rPr>
                <w:rFonts w:ascii="David" w:hAnsi="David" w:cs="David"/>
                <w:rtl/>
                <w:lang w:bidi="he-IL"/>
              </w:rPr>
              <w:t xml:space="preserve">אמר לשנים: גזלתי את אחד מכם ואיני יודע איזהו, אינו נותן אלא מנה, והם חולקים ביניהם, מאחר שהם לא היו יודעים שנגזלו, אלא על פיו; ועם כל זה אם בא לצאת ידי שמים, חייב לשלם כל הגזילה לכל אחד ואחד. אבל שנים שתבעו את אחד, וכל אחד מהם אמר ליה: גזלתני מנה, והוא משיב: אמת שגזלתי את אחד מכם מנה אבל איני יודע לאיזה מכם, חייב לשלם לכל אחד מהם מנה. </w:t>
            </w:r>
            <w:r w:rsidRPr="00773116">
              <w:rPr>
                <w:rFonts w:ascii="David" w:hAnsi="David" w:cs="David"/>
                <w:b/>
                <w:bCs/>
                <w:sz w:val="22"/>
                <w:szCs w:val="22"/>
                <w:rtl/>
                <w:lang w:bidi="he-IL"/>
              </w:rPr>
              <w:t>הגה</w:t>
            </w:r>
            <w:r w:rsidRPr="00773116">
              <w:rPr>
                <w:rFonts w:ascii="David" w:hAnsi="David" w:cs="David"/>
                <w:sz w:val="22"/>
                <w:szCs w:val="22"/>
                <w:rtl/>
                <w:lang w:bidi="he-IL"/>
              </w:rPr>
              <w:t>: וכן אם גזל לשנים, לאחד מנה ולאחד מאתים, וכל אחד מהם תובעו מאתים, והוא אינו יודע למי גזל מאתים, נותן לכל אחד מאתים. גזל לאחד, ואינו יודע אם החזיר לו, אף על פי שאין תובע אותו, חייב לשלם לו אם בא לצאת ידי שמים. אבל אם אמר לאחד: איני יודע אם גזלתיך אם לאו, אפילו בבא לצאת ידי שמים אינו חייב לשלם לו (טור).</w:t>
            </w:r>
          </w:p>
        </w:tc>
      </w:tr>
      <w:bookmarkEnd w:id="1"/>
    </w:tbl>
    <w:p w:rsidR="004F393D" w:rsidRPr="00773116" w:rsidRDefault="004F393D" w:rsidP="000350C1">
      <w:pPr>
        <w:bidi/>
        <w:rPr>
          <w:rFonts w:ascii="David" w:hAnsi="David" w:cs="David"/>
          <w:b/>
          <w:bCs/>
          <w:lang w:bidi="he-IL"/>
        </w:rPr>
      </w:pPr>
    </w:p>
    <w:p w:rsidR="000350C1" w:rsidRPr="00773116" w:rsidRDefault="000350C1" w:rsidP="000350C1">
      <w:pPr>
        <w:bidi/>
        <w:rPr>
          <w:rFonts w:ascii="David" w:hAnsi="David" w:cs="David"/>
          <w:rtl/>
          <w:lang w:bidi="he-IL"/>
        </w:rPr>
      </w:pPr>
    </w:p>
    <w:sectPr w:rsidR="000350C1" w:rsidRPr="007731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reiber" w:date="2018-01-22T19:17:00Z" w:initials="S">
    <w:p w:rsidR="00773116" w:rsidRDefault="00773116" w:rsidP="00773116">
      <w:pPr>
        <w:pStyle w:val="CommentText"/>
        <w:rPr>
          <w:rStyle w:val="CommentReference"/>
          <w:lang w:bidi="he-IL"/>
        </w:rPr>
      </w:pPr>
      <w:r>
        <w:rPr>
          <w:rStyle w:val="CommentReference"/>
        </w:rPr>
        <w:annotationRef/>
      </w:r>
      <w:r>
        <w:rPr>
          <w:rStyle w:val="CommentReference"/>
        </w:rPr>
        <w:t xml:space="preserve">What does </w:t>
      </w:r>
      <w:proofErr w:type="spellStart"/>
      <w:r>
        <w:rPr>
          <w:rStyle w:val="CommentReference"/>
        </w:rPr>
        <w:t>Eliyahu</w:t>
      </w:r>
      <w:proofErr w:type="spellEnd"/>
      <w:r>
        <w:rPr>
          <w:rStyle w:val="CommentReference"/>
        </w:rPr>
        <w:t xml:space="preserve"> do? Does he </w:t>
      </w:r>
      <w:r>
        <w:rPr>
          <w:rStyle w:val="CommentReference"/>
          <w:rFonts w:hint="cs"/>
          <w:rtl/>
          <w:lang w:bidi="he-IL"/>
        </w:rPr>
        <w:t>מכריע</w:t>
      </w:r>
      <w:r>
        <w:rPr>
          <w:rStyle w:val="CommentReference"/>
          <w:lang w:bidi="he-IL"/>
        </w:rPr>
        <w:t xml:space="preserve"> or does he motivate the person with the </w:t>
      </w:r>
      <w:proofErr w:type="spellStart"/>
      <w:r>
        <w:rPr>
          <w:rStyle w:val="CommentReference"/>
          <w:lang w:bidi="he-IL"/>
        </w:rPr>
        <w:t>chefetz</w:t>
      </w:r>
      <w:proofErr w:type="spellEnd"/>
      <w:r>
        <w:rPr>
          <w:rStyle w:val="CommentReference"/>
          <w:lang w:bidi="he-IL"/>
        </w:rPr>
        <w:t>?</w:t>
      </w:r>
    </w:p>
    <w:p w:rsidR="00773116" w:rsidRDefault="00773116" w:rsidP="00773116">
      <w:pPr>
        <w:pStyle w:val="CommentText"/>
        <w:rPr>
          <w:lang w:bidi="he-IL"/>
        </w:rPr>
      </w:pPr>
      <w:proofErr w:type="spellStart"/>
      <w:r>
        <w:rPr>
          <w:rStyle w:val="CommentReference"/>
          <w:lang w:bidi="he-IL"/>
        </w:rPr>
        <w:t>Stirah</w:t>
      </w:r>
      <w:proofErr w:type="spellEnd"/>
      <w:r>
        <w:rPr>
          <w:rStyle w:val="CommentReference"/>
          <w:lang w:bidi="he-IL"/>
        </w:rPr>
        <w:t xml:space="preserve"> in </w:t>
      </w:r>
      <w:proofErr w:type="spellStart"/>
      <w:r>
        <w:rPr>
          <w:rStyle w:val="CommentReference"/>
          <w:lang w:bidi="he-IL"/>
        </w:rPr>
        <w:t>Rambam</w:t>
      </w:r>
      <w:proofErr w:type="spellEnd"/>
    </w:p>
  </w:comment>
  <w:comment w:id="2" w:author="Schreiber" w:date="2018-01-22T19:18:00Z" w:initials="S">
    <w:p w:rsidR="00773116" w:rsidRDefault="00773116">
      <w:pPr>
        <w:pStyle w:val="CommentText"/>
        <w:rPr>
          <w:lang w:bidi="he-IL"/>
        </w:rPr>
      </w:pPr>
      <w:r>
        <w:rPr>
          <w:rStyle w:val="CommentReference"/>
        </w:rPr>
        <w:annotationRef/>
      </w:r>
      <w:proofErr w:type="spellStart"/>
      <w:r>
        <w:t>Nafka</w:t>
      </w:r>
      <w:proofErr w:type="spellEnd"/>
      <w:r>
        <w:t xml:space="preserve"> mina for </w:t>
      </w:r>
      <w:r>
        <w:rPr>
          <w:rFonts w:hint="cs"/>
          <w:rtl/>
          <w:lang w:bidi="he-IL"/>
        </w:rPr>
        <w:t>חוזר בדבריו</w:t>
      </w:r>
      <w:r>
        <w:rPr>
          <w:lang w:bidi="he-IL"/>
        </w:rPr>
        <w:t xml:space="preserve">, </w:t>
      </w:r>
      <w:r>
        <w:rPr>
          <w:rFonts w:hint="cs"/>
          <w:rtl/>
          <w:lang w:bidi="he-IL"/>
        </w:rPr>
        <w:t>טענת ספק</w:t>
      </w:r>
      <w:r>
        <w:rPr>
          <w:lang w:bidi="he-IL"/>
        </w:rPr>
        <w:t>, non-</w:t>
      </w:r>
      <w:r>
        <w:rPr>
          <w:rFonts w:hint="cs"/>
          <w:rtl/>
          <w:lang w:bidi="he-IL"/>
        </w:rPr>
        <w:t>דיני ממונות</w:t>
      </w:r>
      <w:r>
        <w:rPr>
          <w:lang w:bidi="he-IL"/>
        </w:rPr>
        <w:t>, etc.</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B5"/>
    <w:rsid w:val="000350C1"/>
    <w:rsid w:val="00332B70"/>
    <w:rsid w:val="003B4E37"/>
    <w:rsid w:val="004C0FB5"/>
    <w:rsid w:val="004F393D"/>
    <w:rsid w:val="00651107"/>
    <w:rsid w:val="00773116"/>
    <w:rsid w:val="00786BA2"/>
    <w:rsid w:val="00AE249C"/>
    <w:rsid w:val="00B64BEC"/>
    <w:rsid w:val="00C65199"/>
    <w:rsid w:val="00D92FE1"/>
    <w:rsid w:val="00DF4870"/>
    <w:rsid w:val="00E425B6"/>
    <w:rsid w:val="00FC2A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50C1"/>
    <w:rPr>
      <w:rFonts w:ascii="Tahoma" w:hAnsi="Tahoma" w:cs="Tahoma"/>
      <w:sz w:val="16"/>
      <w:szCs w:val="16"/>
    </w:rPr>
  </w:style>
  <w:style w:type="character" w:customStyle="1" w:styleId="BalloonTextChar">
    <w:name w:val="Balloon Text Char"/>
    <w:basedOn w:val="DefaultParagraphFont"/>
    <w:link w:val="BalloonText"/>
    <w:rsid w:val="000350C1"/>
    <w:rPr>
      <w:rFonts w:ascii="Tahoma" w:hAnsi="Tahoma" w:cs="Tahoma"/>
      <w:sz w:val="16"/>
      <w:szCs w:val="16"/>
    </w:rPr>
  </w:style>
  <w:style w:type="table" w:styleId="TableGrid">
    <w:name w:val="Table Grid"/>
    <w:basedOn w:val="TableNormal"/>
    <w:rsid w:val="0003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C2A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2A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773116"/>
    <w:rPr>
      <w:sz w:val="16"/>
      <w:szCs w:val="16"/>
    </w:rPr>
  </w:style>
  <w:style w:type="paragraph" w:styleId="CommentText">
    <w:name w:val="annotation text"/>
    <w:basedOn w:val="Normal"/>
    <w:link w:val="CommentTextChar"/>
    <w:rsid w:val="00773116"/>
    <w:rPr>
      <w:sz w:val="20"/>
      <w:szCs w:val="20"/>
    </w:rPr>
  </w:style>
  <w:style w:type="character" w:customStyle="1" w:styleId="CommentTextChar">
    <w:name w:val="Comment Text Char"/>
    <w:basedOn w:val="DefaultParagraphFont"/>
    <w:link w:val="CommentText"/>
    <w:rsid w:val="00773116"/>
  </w:style>
  <w:style w:type="paragraph" w:styleId="CommentSubject">
    <w:name w:val="annotation subject"/>
    <w:basedOn w:val="CommentText"/>
    <w:next w:val="CommentText"/>
    <w:link w:val="CommentSubjectChar"/>
    <w:rsid w:val="00773116"/>
    <w:rPr>
      <w:b/>
      <w:bCs/>
    </w:rPr>
  </w:style>
  <w:style w:type="character" w:customStyle="1" w:styleId="CommentSubjectChar">
    <w:name w:val="Comment Subject Char"/>
    <w:basedOn w:val="CommentTextChar"/>
    <w:link w:val="CommentSubject"/>
    <w:rsid w:val="007731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50C1"/>
    <w:rPr>
      <w:rFonts w:ascii="Tahoma" w:hAnsi="Tahoma" w:cs="Tahoma"/>
      <w:sz w:val="16"/>
      <w:szCs w:val="16"/>
    </w:rPr>
  </w:style>
  <w:style w:type="character" w:customStyle="1" w:styleId="BalloonTextChar">
    <w:name w:val="Balloon Text Char"/>
    <w:basedOn w:val="DefaultParagraphFont"/>
    <w:link w:val="BalloonText"/>
    <w:rsid w:val="000350C1"/>
    <w:rPr>
      <w:rFonts w:ascii="Tahoma" w:hAnsi="Tahoma" w:cs="Tahoma"/>
      <w:sz w:val="16"/>
      <w:szCs w:val="16"/>
    </w:rPr>
  </w:style>
  <w:style w:type="table" w:styleId="TableGrid">
    <w:name w:val="Table Grid"/>
    <w:basedOn w:val="TableNormal"/>
    <w:rsid w:val="0003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C2A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2A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773116"/>
    <w:rPr>
      <w:sz w:val="16"/>
      <w:szCs w:val="16"/>
    </w:rPr>
  </w:style>
  <w:style w:type="paragraph" w:styleId="CommentText">
    <w:name w:val="annotation text"/>
    <w:basedOn w:val="Normal"/>
    <w:link w:val="CommentTextChar"/>
    <w:rsid w:val="00773116"/>
    <w:rPr>
      <w:sz w:val="20"/>
      <w:szCs w:val="20"/>
    </w:rPr>
  </w:style>
  <w:style w:type="character" w:customStyle="1" w:styleId="CommentTextChar">
    <w:name w:val="Comment Text Char"/>
    <w:basedOn w:val="DefaultParagraphFont"/>
    <w:link w:val="CommentText"/>
    <w:rsid w:val="00773116"/>
  </w:style>
  <w:style w:type="paragraph" w:styleId="CommentSubject">
    <w:name w:val="annotation subject"/>
    <w:basedOn w:val="CommentText"/>
    <w:next w:val="CommentText"/>
    <w:link w:val="CommentSubjectChar"/>
    <w:rsid w:val="00773116"/>
    <w:rPr>
      <w:b/>
      <w:bCs/>
    </w:rPr>
  </w:style>
  <w:style w:type="character" w:customStyle="1" w:styleId="CommentSubjectChar">
    <w:name w:val="Comment Subject Char"/>
    <w:basedOn w:val="CommentTextChar"/>
    <w:link w:val="CommentSubject"/>
    <w:rsid w:val="00773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4</cp:revision>
  <dcterms:created xsi:type="dcterms:W3CDTF">2018-01-21T18:36:00Z</dcterms:created>
  <dcterms:modified xsi:type="dcterms:W3CDTF">2018-01-22T17:34:00Z</dcterms:modified>
</cp:coreProperties>
</file>