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2D" w:rsidRPr="0008473F" w:rsidRDefault="00D83A6C" w:rsidP="00160707">
      <w:pPr>
        <w:pStyle w:val="Title"/>
        <w:bidi/>
        <w:jc w:val="both"/>
        <w:rPr>
          <w:rtl/>
          <w:lang w:bidi="he-IL"/>
        </w:rPr>
      </w:pPr>
      <w:r w:rsidRPr="0008473F">
        <w:rPr>
          <w:rtl/>
          <w:lang w:bidi="he-IL"/>
        </w:rPr>
        <w:t>בבא קמא פג – עין תחת עין</w:t>
      </w:r>
    </w:p>
    <w:p w:rsidR="00AB2FF7" w:rsidRDefault="00AB2FF7" w:rsidP="00AB2FF7">
      <w:pPr>
        <w:pStyle w:val="Heading1"/>
        <w:bidi/>
        <w:rPr>
          <w:rFonts w:hint="cs"/>
          <w:rtl/>
          <w:lang w:bidi="he-IL"/>
        </w:rPr>
      </w:pPr>
      <w:r>
        <w:rPr>
          <w:rFonts w:hint="cs"/>
          <w:rtl/>
          <w:lang w:bidi="he-IL"/>
        </w:rPr>
        <w:t>איזה סוג עבד?</w:t>
      </w:r>
    </w:p>
    <w:p w:rsidR="00D83A6C" w:rsidRPr="0008473F" w:rsidRDefault="00D83A6C" w:rsidP="00AB2FF7">
      <w:pPr>
        <w:bidi/>
        <w:jc w:val="both"/>
        <w:rPr>
          <w:rFonts w:ascii="David" w:hAnsi="David" w:cs="David"/>
          <w:b/>
          <w:bCs/>
          <w:rtl/>
          <w:lang w:bidi="he-IL"/>
        </w:rPr>
      </w:pPr>
      <w:r w:rsidRPr="0008473F">
        <w:rPr>
          <w:rFonts w:ascii="David" w:hAnsi="David" w:cs="David"/>
          <w:b/>
          <w:bCs/>
          <w:rtl/>
          <w:lang w:bidi="he-IL"/>
        </w:rPr>
        <w:t xml:space="preserve">ר' עובדיה מברטנורא מסכת בבא קמא פרק ח </w:t>
      </w:r>
    </w:p>
    <w:p w:rsidR="00D83A6C" w:rsidRPr="0008473F" w:rsidRDefault="00D83A6C" w:rsidP="00160707">
      <w:pPr>
        <w:bidi/>
        <w:jc w:val="both"/>
        <w:rPr>
          <w:rFonts w:ascii="David" w:hAnsi="David" w:cs="David"/>
          <w:rtl/>
          <w:lang w:bidi="he-IL"/>
        </w:rPr>
      </w:pPr>
      <w:r w:rsidRPr="0008473F">
        <w:rPr>
          <w:rFonts w:ascii="David" w:hAnsi="David" w:cs="David"/>
          <w:rtl/>
          <w:lang w:bidi="he-IL"/>
        </w:rPr>
        <w:t>החובל. וכמה הוא יפה - שאם היה צריך היה מוכר עצמו בעבד עברי, וזה שהזיקו הפסידו ממון זה:</w:t>
      </w:r>
    </w:p>
    <w:p w:rsidR="00D83A6C" w:rsidRPr="0008473F" w:rsidRDefault="00D83A6C" w:rsidP="00160707">
      <w:pPr>
        <w:bidi/>
        <w:jc w:val="both"/>
        <w:rPr>
          <w:rFonts w:ascii="David" w:hAnsi="David" w:cs="David"/>
          <w:rtl/>
          <w:lang w:bidi="he-IL"/>
        </w:rPr>
      </w:pPr>
    </w:p>
    <w:p w:rsidR="00D83A6C" w:rsidRPr="0008473F" w:rsidRDefault="00D83A6C" w:rsidP="00160707">
      <w:pPr>
        <w:bidi/>
        <w:jc w:val="both"/>
        <w:rPr>
          <w:rFonts w:ascii="David" w:hAnsi="David" w:cs="David"/>
          <w:b/>
          <w:bCs/>
          <w:rtl/>
          <w:lang w:bidi="he-IL"/>
        </w:rPr>
      </w:pPr>
      <w:r w:rsidRPr="0008473F">
        <w:rPr>
          <w:rFonts w:ascii="David" w:hAnsi="David" w:cs="David"/>
          <w:b/>
          <w:bCs/>
          <w:rtl/>
          <w:lang w:bidi="he-IL"/>
        </w:rPr>
        <w:t xml:space="preserve">רא"ש מסכת בבא קמא פרק ח </w:t>
      </w:r>
    </w:p>
    <w:p w:rsidR="00D83A6C" w:rsidRPr="0008473F" w:rsidRDefault="00D83A6C" w:rsidP="00160707">
      <w:pPr>
        <w:bidi/>
        <w:jc w:val="both"/>
        <w:rPr>
          <w:rFonts w:ascii="David" w:hAnsi="David" w:cs="David"/>
          <w:rtl/>
          <w:lang w:bidi="he-IL"/>
        </w:rPr>
      </w:pPr>
      <w:r w:rsidRPr="0008473F">
        <w:rPr>
          <w:rFonts w:ascii="David" w:hAnsi="David" w:cs="David"/>
          <w:rtl/>
          <w:lang w:bidi="he-IL"/>
        </w:rPr>
        <w:t>החובל בחבירו חייב בחמשה דברים. בנזק כדמפרש בסיפא סימא את עינו קיטע את ידו שבר את רגלו רואין אותו כאילו הוא עבד כנעני נמכר בשוק שהוא נמכר לעולם. אבל עבד עברי אין לו שומא להמכר לעולם להפסיד לו בשומא הזאת. שהרי היה יכול למכור את עצמו לשש ולאחר שיצא בשש ימכור עצמו שנית. וכן כל ימיו רואין כמה הוא יפה וכמה היה יפה. פי' עבד הנמכר בשוק כמה היה יפה עם האבר וכמה הוא יפה עבד הנמכר בלא אותו אבר.</w:t>
      </w:r>
    </w:p>
    <w:p w:rsidR="00D83A6C" w:rsidRPr="0008473F" w:rsidRDefault="00D83A6C" w:rsidP="00160707">
      <w:pPr>
        <w:bidi/>
        <w:jc w:val="both"/>
        <w:rPr>
          <w:rFonts w:ascii="David" w:hAnsi="David" w:cs="David"/>
          <w:rtl/>
          <w:lang w:bidi="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29"/>
        <w:gridCol w:w="4847"/>
      </w:tblGrid>
      <w:tr w:rsidR="00C74E7D" w:rsidTr="00C74E7D">
        <w:tc>
          <w:tcPr>
            <w:tcW w:w="4788" w:type="dxa"/>
          </w:tcPr>
          <w:p w:rsidR="00C74E7D" w:rsidRPr="0008473F" w:rsidRDefault="00C74E7D" w:rsidP="00C74E7D">
            <w:pPr>
              <w:bidi/>
              <w:jc w:val="both"/>
              <w:rPr>
                <w:rFonts w:ascii="David" w:hAnsi="David" w:cs="David"/>
                <w:b/>
                <w:bCs/>
                <w:rtl/>
                <w:lang w:bidi="he-IL"/>
              </w:rPr>
            </w:pPr>
            <w:r w:rsidRPr="0008473F">
              <w:rPr>
                <w:rFonts w:ascii="David" w:hAnsi="David" w:cs="David"/>
                <w:b/>
                <w:bCs/>
                <w:rtl/>
                <w:lang w:bidi="he-IL"/>
              </w:rPr>
              <w:t>חדושי אנשי שם</w:t>
            </w:r>
          </w:p>
          <w:p w:rsidR="00C74E7D" w:rsidRPr="0008473F" w:rsidRDefault="00C74E7D" w:rsidP="00C74E7D">
            <w:pPr>
              <w:bidi/>
              <w:jc w:val="both"/>
              <w:rPr>
                <w:rFonts w:ascii="David" w:hAnsi="David" w:cs="David"/>
                <w:rtl/>
                <w:lang w:bidi="he-IL"/>
              </w:rPr>
            </w:pPr>
            <w:r w:rsidRPr="0008473F">
              <w:rPr>
                <w:rFonts w:ascii="David" w:hAnsi="David" w:cs="David"/>
                <w:rtl/>
                <w:lang w:bidi="he-IL"/>
              </w:rPr>
              <w:t>לדברי רש"י צ"ל דשמין או</w:t>
            </w:r>
            <w:r>
              <w:rPr>
                <w:rFonts w:ascii="David" w:hAnsi="David" w:cs="David" w:hint="cs"/>
                <w:rtl/>
                <w:lang w:bidi="he-IL"/>
              </w:rPr>
              <w:t>ת</w:t>
            </w:r>
            <w:r w:rsidRPr="0008473F">
              <w:rPr>
                <w:rFonts w:ascii="David" w:hAnsi="David" w:cs="David"/>
                <w:rtl/>
                <w:lang w:bidi="he-IL"/>
              </w:rPr>
              <w:t>ו כך שאם היה רוצה היה מוכר את עמצו בעבד כברי לשש שנים ואח"כ היה חוזר ומוכר עצמו לשש ואח"כ היה חוזר ומוכר עמצו לשש שנים אחרות עד יום מותו כפי ערך שנותיו של אדם</w:t>
            </w:r>
          </w:p>
          <w:p w:rsidR="00C74E7D" w:rsidRDefault="00C74E7D" w:rsidP="00160707">
            <w:pPr>
              <w:bidi/>
              <w:jc w:val="both"/>
              <w:rPr>
                <w:rFonts w:ascii="David" w:hAnsi="David" w:cs="David"/>
                <w:b/>
                <w:bCs/>
                <w:rtl/>
                <w:lang w:bidi="he-IL"/>
              </w:rPr>
            </w:pPr>
          </w:p>
        </w:tc>
        <w:tc>
          <w:tcPr>
            <w:tcW w:w="4788" w:type="dxa"/>
          </w:tcPr>
          <w:p w:rsidR="00C74E7D" w:rsidRPr="008E56FD" w:rsidRDefault="00C74E7D" w:rsidP="00C74E7D">
            <w:pPr>
              <w:bidi/>
              <w:jc w:val="both"/>
              <w:rPr>
                <w:rFonts w:ascii="David" w:hAnsi="David" w:cs="David"/>
                <w:b/>
                <w:bCs/>
                <w:rtl/>
                <w:lang w:bidi="he-IL"/>
              </w:rPr>
            </w:pPr>
            <w:r w:rsidRPr="008E56FD">
              <w:rPr>
                <w:rFonts w:ascii="David" w:hAnsi="David" w:cs="David"/>
                <w:b/>
                <w:bCs/>
                <w:rtl/>
                <w:lang w:bidi="he-IL"/>
              </w:rPr>
              <w:t>מרומי שדה</w:t>
            </w:r>
          </w:p>
          <w:p w:rsidR="00C74E7D" w:rsidRPr="00C74E7D" w:rsidRDefault="00C74E7D" w:rsidP="00C74E7D">
            <w:pPr>
              <w:bidi/>
              <w:jc w:val="both"/>
              <w:rPr>
                <w:rFonts w:ascii="David" w:hAnsi="David" w:cs="David"/>
                <w:rtl/>
                <w:lang w:bidi="he-IL"/>
              </w:rPr>
            </w:pPr>
            <w:bookmarkStart w:id="0" w:name="_GoBack"/>
            <w:r w:rsidRPr="0008473F">
              <w:rPr>
                <w:rFonts w:ascii="David" w:hAnsi="David" w:cs="David"/>
                <w:noProof/>
                <w:lang w:bidi="he-IL"/>
              </w:rPr>
              <w:drawing>
                <wp:inline distT="0" distB="0" distL="0" distR="0" wp14:anchorId="07CD8616" wp14:editId="729DAEF7">
                  <wp:extent cx="2940710" cy="1666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39877" cy="1666198"/>
                          </a:xfrm>
                          <a:prstGeom prst="rect">
                            <a:avLst/>
                          </a:prstGeom>
                        </pic:spPr>
                      </pic:pic>
                    </a:graphicData>
                  </a:graphic>
                </wp:inline>
              </w:drawing>
            </w:r>
            <w:bookmarkEnd w:id="0"/>
          </w:p>
        </w:tc>
      </w:tr>
    </w:tbl>
    <w:p w:rsidR="00160707" w:rsidRDefault="00160707" w:rsidP="00160707">
      <w:pPr>
        <w:bidi/>
        <w:jc w:val="both"/>
        <w:rPr>
          <w:rFonts w:ascii="David" w:hAnsi="David" w:cs="David" w:hint="cs"/>
          <w:rtl/>
          <w:lang w:bidi="he-IL"/>
        </w:rPr>
      </w:pPr>
    </w:p>
    <w:p w:rsidR="00160707" w:rsidRPr="00160707" w:rsidRDefault="00160707" w:rsidP="00160707">
      <w:pPr>
        <w:bidi/>
        <w:jc w:val="both"/>
        <w:rPr>
          <w:rFonts w:ascii="David" w:hAnsi="David" w:cs="David" w:hint="cs"/>
          <w:b/>
          <w:bCs/>
          <w:rtl/>
          <w:lang w:bidi="he-IL"/>
        </w:rPr>
      </w:pPr>
      <w:r w:rsidRPr="00160707">
        <w:rPr>
          <w:rFonts w:ascii="David" w:hAnsi="David" w:cs="David"/>
          <w:b/>
          <w:bCs/>
          <w:rtl/>
          <w:lang w:bidi="he-IL"/>
        </w:rPr>
        <w:t xml:space="preserve">קצות החושן סימן תכ </w:t>
      </w:r>
    </w:p>
    <w:p w:rsidR="00160707" w:rsidRPr="00160707" w:rsidRDefault="00160707" w:rsidP="00160707">
      <w:pPr>
        <w:bidi/>
        <w:jc w:val="both"/>
        <w:rPr>
          <w:rFonts w:ascii="David" w:hAnsi="David" w:cs="David"/>
        </w:rPr>
      </w:pPr>
      <w:r w:rsidRPr="00160707">
        <w:rPr>
          <w:rFonts w:ascii="David" w:hAnsi="David" w:cs="David"/>
          <w:rtl/>
          <w:lang w:bidi="he-IL"/>
        </w:rPr>
        <w:t>והנה לשטת רש"י דנישום כעבד עברי ומשום דישראל אינו נישום כעבד כנעני, א"כ הא נמי דאמרינן בסנהדרין דף ט"ו (ע"א) גבי דמי עלי דשמין אותו כעבד ע"ש, היינו נמי כעבד עברי, וא"כ תיקשי לפי מ"ש תוס' פ"ק דקידושין דף ז' (ע"א ד"ה אם כן) דבן חורין לא איתקש לקרקע אלא דוקא בדמי עלי לפי ששמין אותו כעבד כדאיתא פ"ק דסנהדרין דף ט"ו ע"ש, ואי נימא דהך דסנהדרין דשמין אותו כעבד היינו כעברי אכתי אינו כקרקע ואינו שומת קרקע כלל ואמאי צריך בדמי עלי תשעה וכהן, דעבד עברי אינו כקרקע כמו שאר אדם כיון דאינו בוהתנחלתם, וכמ"ש בר"ן פרק כל הנשבעין (שבועות לג, ב בדפי הרי"ף) ובריטב"א קידושין (טז, א ד"ה הניחא) דעבד עברי לא איתקש לקרקע.</w:t>
      </w:r>
    </w:p>
    <w:p w:rsidR="00160707" w:rsidRPr="0008473F" w:rsidRDefault="00160707" w:rsidP="00160707">
      <w:pPr>
        <w:bidi/>
        <w:jc w:val="both"/>
        <w:rPr>
          <w:rFonts w:ascii="David" w:hAnsi="David" w:cs="David"/>
          <w:lang w:bidi="he-IL"/>
        </w:rPr>
      </w:pPr>
      <w:r w:rsidRPr="00160707">
        <w:rPr>
          <w:rFonts w:ascii="David" w:hAnsi="David" w:cs="David"/>
          <w:rtl/>
          <w:lang w:bidi="he-IL"/>
        </w:rPr>
        <w:t>לכן נראה דס"ל לתוס' נמי דשמין אותו כעבד היינו כעבד כנעני וכמ"ש הרא"ש, ומש"ה באומר דמי עלי צריך תשעה וכהן כיון דנישום כעבד כנעני והוי כקרקע וצריך שומת קרקע. ורש"י לטעמיה דס"ל פ"ק דקידושין דף ז' (ע"א ד"ה שיש להן אחריות) דכל אדם הוקש לקרקע ומש"ה בהך דסנהדרין דף ט"ו אע"ג דאינו נישום אלא כעבד עברי נמי הו"ל דין קרקע וצריך תשעה וכהן ודו"ק, ועיין מ"ש לעיל בסימן צ"ה סק"ח:</w:t>
      </w:r>
    </w:p>
    <w:p w:rsidR="00AB2FF7" w:rsidRDefault="00AB2FF7" w:rsidP="00AB2FF7">
      <w:pPr>
        <w:pStyle w:val="Heading1"/>
        <w:bidi/>
        <w:rPr>
          <w:rFonts w:hint="cs"/>
          <w:lang w:bidi="he-IL"/>
        </w:rPr>
      </w:pPr>
      <w:r>
        <w:rPr>
          <w:rFonts w:hint="cs"/>
          <w:rtl/>
          <w:lang w:bidi="he-IL"/>
        </w:rPr>
        <w:t>פשט או דרש</w:t>
      </w:r>
    </w:p>
    <w:p w:rsidR="00AA188D" w:rsidRPr="0008473F" w:rsidRDefault="00AA188D" w:rsidP="00AB2FF7">
      <w:pPr>
        <w:bidi/>
        <w:jc w:val="both"/>
        <w:rPr>
          <w:rFonts w:ascii="David" w:hAnsi="David" w:cs="David"/>
          <w:b/>
          <w:bCs/>
        </w:rPr>
      </w:pPr>
      <w:r w:rsidRPr="0008473F">
        <w:rPr>
          <w:rFonts w:ascii="David" w:hAnsi="David" w:cs="David"/>
          <w:b/>
          <w:bCs/>
          <w:rtl/>
        </w:rPr>
        <w:t xml:space="preserve">אבן עזרא שמות (הפירוש הארוך) פרק כא פסוק כד </w:t>
      </w:r>
    </w:p>
    <w:p w:rsidR="00AA188D" w:rsidRPr="0008473F" w:rsidRDefault="00AA188D" w:rsidP="00160707">
      <w:pPr>
        <w:bidi/>
        <w:jc w:val="both"/>
        <w:rPr>
          <w:rFonts w:ascii="David" w:hAnsi="David" w:cs="David"/>
        </w:rPr>
      </w:pPr>
      <w:r w:rsidRPr="0008473F">
        <w:rPr>
          <w:rFonts w:ascii="David" w:hAnsi="David" w:cs="David"/>
          <w:rtl/>
        </w:rPr>
        <w:t xml:space="preserve">אמר </w:t>
      </w:r>
      <w:r w:rsidRPr="0008473F">
        <w:rPr>
          <w:rFonts w:ascii="David" w:hAnsi="David" w:cs="David"/>
          <w:b/>
          <w:bCs/>
          <w:rtl/>
        </w:rPr>
        <w:t>רב סעדיה</w:t>
      </w:r>
      <w:r w:rsidRPr="0008473F">
        <w:rPr>
          <w:rFonts w:ascii="David" w:hAnsi="David" w:cs="David"/>
          <w:rtl/>
        </w:rPr>
        <w:t xml:space="preserve">, לא נוכל לפרש זה הפסוק כמשמעו. כי אם אדם הכה עין חבירו, וסרה שלישית אור עיניו, </w:t>
      </w:r>
      <w:r w:rsidRPr="0008473F">
        <w:rPr>
          <w:rFonts w:ascii="David" w:hAnsi="David" w:cs="David"/>
          <w:u w:val="single"/>
          <w:rtl/>
        </w:rPr>
        <w:t>איך יתכן שיוכה מכה כזאת בלי תוספת ומגרעת</w:t>
      </w:r>
      <w:r w:rsidRPr="0008473F">
        <w:rPr>
          <w:rFonts w:ascii="David" w:hAnsi="David" w:cs="David"/>
          <w:rtl/>
        </w:rPr>
        <w:t xml:space="preserve">. אולי יחשיך אור עינו כלו. ויותר קשה הכויה והפצע והחבורה, כי אם היו במקום מסוכן אולי ימות, ואין הדעת סובלת. אמר לו </w:t>
      </w:r>
      <w:r w:rsidRPr="0008473F">
        <w:rPr>
          <w:rFonts w:ascii="David" w:hAnsi="David" w:cs="David"/>
          <w:b/>
          <w:bCs/>
          <w:rtl/>
        </w:rPr>
        <w:t>בן זוטא</w:t>
      </w:r>
      <w:r w:rsidRPr="0008473F">
        <w:rPr>
          <w:rFonts w:ascii="David" w:hAnsi="David" w:cs="David"/>
          <w:rtl/>
        </w:rPr>
        <w:t xml:space="preserve">, והלא כתוב במקום אחר, כאשר יתן מום באדם כן ינתן בו (ויקרא כד, כ). והגאון השיב לו, יש לנו בי"ת תחת על. והנה טעמו כן ינתן עליו עונש. ובן זוטא השיב לו: כאשר עשה כן יעשה לו (שם שם, יט). והגאון השיב, הנה שמשון אמר: כאשר עשו לי כן עשיתי להם (שופ' טו, יא), ושמשון לא לקח נשותיהם ונתנם לאחרים, רק גמולם השיב להם. ובן זוטא השיב, אם היה המכה עני מה יהיה עונשו. והגאון השיב, אם עור יעור עין פקח מה יעשה לו. </w:t>
      </w:r>
      <w:r w:rsidRPr="0008473F">
        <w:rPr>
          <w:rFonts w:ascii="David" w:hAnsi="David" w:cs="David"/>
          <w:u w:val="single"/>
          <w:rtl/>
        </w:rPr>
        <w:t>כי העני יתכן שיעשיר וישלם, רק העור לא יוכל לשלם לעולם</w:t>
      </w:r>
      <w:r w:rsidRPr="0008473F">
        <w:rPr>
          <w:rFonts w:ascii="David" w:hAnsi="David" w:cs="David"/>
          <w:rtl/>
        </w:rPr>
        <w:t xml:space="preserve">. </w:t>
      </w:r>
      <w:r w:rsidRPr="0008473F">
        <w:rPr>
          <w:rFonts w:ascii="David" w:hAnsi="David" w:cs="David"/>
          <w:u w:val="single"/>
          <w:rtl/>
        </w:rPr>
        <w:t>והכלל לא נוכל לפרש על דרך מצות התורה פירוש שלם, אם לא נסמוך על דברי חז"ל</w:t>
      </w:r>
      <w:r w:rsidRPr="0008473F">
        <w:rPr>
          <w:rFonts w:ascii="David" w:hAnsi="David" w:cs="David"/>
          <w:rtl/>
        </w:rPr>
        <w:t xml:space="preserve">. כי כאשר קבלנו התורה מן האבות. כן קבלנו תורה שבעל פה, אין הפרש ביניהם. </w:t>
      </w:r>
      <w:r w:rsidRPr="0008473F">
        <w:rPr>
          <w:rFonts w:ascii="David" w:hAnsi="David" w:cs="David"/>
          <w:u w:val="single"/>
          <w:rtl/>
        </w:rPr>
        <w:t>והנה יהיה פי' עין תחת עין ראוי להיותו עינו תחת עינו, אם לא יתן כפרו</w:t>
      </w:r>
      <w:r w:rsidRPr="0008473F">
        <w:rPr>
          <w:rFonts w:ascii="David" w:hAnsi="David" w:cs="David"/>
          <w:rtl/>
        </w:rPr>
        <w:t>.</w:t>
      </w:r>
    </w:p>
    <w:p w:rsidR="00AA188D" w:rsidRPr="0008473F" w:rsidRDefault="00AA188D" w:rsidP="00160707">
      <w:pPr>
        <w:bidi/>
        <w:jc w:val="both"/>
        <w:rPr>
          <w:rFonts w:ascii="David" w:hAnsi="David" w:cs="David"/>
          <w:rtl/>
        </w:rPr>
      </w:pPr>
    </w:p>
    <w:p w:rsidR="0008473F" w:rsidRPr="0008473F" w:rsidRDefault="0008473F" w:rsidP="00160707">
      <w:pPr>
        <w:bidi/>
        <w:jc w:val="both"/>
        <w:rPr>
          <w:rStyle w:val="CommentReference"/>
          <w:rFonts w:ascii="David" w:hAnsi="David" w:cs="David"/>
          <w:b/>
          <w:bCs/>
          <w:sz w:val="24"/>
          <w:szCs w:val="24"/>
        </w:rPr>
      </w:pPr>
      <w:r w:rsidRPr="0008473F">
        <w:rPr>
          <w:rStyle w:val="CommentReference"/>
          <w:rFonts w:ascii="David" w:hAnsi="David" w:cs="David"/>
          <w:b/>
          <w:bCs/>
          <w:sz w:val="24"/>
          <w:szCs w:val="24"/>
          <w:rtl/>
          <w:lang w:bidi="he-IL"/>
        </w:rPr>
        <w:lastRenderedPageBreak/>
        <w:t xml:space="preserve">רמב"ם הלכות חובל ומזיק פרק א </w:t>
      </w:r>
    </w:p>
    <w:p w:rsidR="0008473F" w:rsidRPr="0008473F" w:rsidRDefault="0008473F" w:rsidP="00AB2FF7">
      <w:pPr>
        <w:bidi/>
        <w:jc w:val="both"/>
        <w:rPr>
          <w:rStyle w:val="CommentReference"/>
          <w:rFonts w:ascii="David" w:hAnsi="David" w:cs="David"/>
          <w:b/>
          <w:bCs/>
          <w:sz w:val="24"/>
          <w:szCs w:val="24"/>
        </w:rPr>
      </w:pPr>
      <w:r w:rsidRPr="0008473F">
        <w:rPr>
          <w:rStyle w:val="CommentReference"/>
          <w:rFonts w:ascii="David" w:hAnsi="David" w:cs="David"/>
          <w:b/>
          <w:bCs/>
          <w:sz w:val="24"/>
          <w:szCs w:val="24"/>
          <w:rtl/>
          <w:lang w:bidi="he-IL"/>
        </w:rPr>
        <w:t>ב</w:t>
      </w:r>
      <w:r w:rsidRPr="0008473F">
        <w:rPr>
          <w:rStyle w:val="CommentReference"/>
          <w:rFonts w:ascii="David" w:hAnsi="David" w:cs="David"/>
          <w:b/>
          <w:bCs/>
          <w:sz w:val="24"/>
          <w:szCs w:val="24"/>
        </w:rPr>
        <w:t xml:space="preserve"> </w:t>
      </w:r>
      <w:r w:rsidRPr="0008473F">
        <w:rPr>
          <w:rStyle w:val="CommentReference"/>
          <w:rFonts w:ascii="David" w:hAnsi="David" w:cs="David"/>
          <w:sz w:val="24"/>
          <w:szCs w:val="24"/>
          <w:rtl/>
          <w:lang w:bidi="he-IL"/>
        </w:rPr>
        <w:t xml:space="preserve">נזק כיצד, שאם קטע יד חבירו או רגלו רואין אותו כאלו הוא עבד נמכר בשוק כמה היה יפה וכמה הוא יפה עתה ומשלם הפחת שהפחית מדמיו, שנ' </w:t>
      </w:r>
      <w:r w:rsidR="00AB2FF7">
        <w:rPr>
          <w:rStyle w:val="CommentReference"/>
          <w:rFonts w:ascii="David" w:hAnsi="David" w:cs="David" w:hint="cs"/>
          <w:sz w:val="24"/>
          <w:szCs w:val="24"/>
          <w:rtl/>
          <w:lang w:bidi="he-IL"/>
        </w:rPr>
        <w:t>(</w:t>
      </w:r>
      <w:r w:rsidRPr="0008473F">
        <w:rPr>
          <w:rStyle w:val="CommentReference"/>
          <w:rFonts w:ascii="David" w:hAnsi="David" w:cs="David"/>
          <w:sz w:val="24"/>
          <w:szCs w:val="24"/>
          <w:rtl/>
          <w:lang w:bidi="he-IL"/>
        </w:rPr>
        <w:t>שמות כ"א כ"ד, ויקרא כד כ</w:t>
      </w:r>
      <w:r w:rsidR="00AB2FF7">
        <w:rPr>
          <w:rStyle w:val="CommentReference"/>
          <w:rFonts w:ascii="David" w:hAnsi="David" w:cs="David" w:hint="cs"/>
          <w:sz w:val="24"/>
          <w:szCs w:val="24"/>
          <w:rtl/>
          <w:lang w:bidi="he-IL"/>
        </w:rPr>
        <w:t>)</w:t>
      </w:r>
      <w:r w:rsidRPr="0008473F">
        <w:rPr>
          <w:rStyle w:val="CommentReference"/>
          <w:rFonts w:ascii="David" w:hAnsi="David" w:cs="David"/>
          <w:sz w:val="24"/>
          <w:szCs w:val="24"/>
          <w:rtl/>
          <w:lang w:bidi="he-IL"/>
        </w:rPr>
        <w:t xml:space="preserve"> עין תחת עין, מפי השמועה למדו שזה שנאמר תחת לשלם ממון הוא. </w:t>
      </w:r>
    </w:p>
    <w:p w:rsidR="0008473F" w:rsidRPr="0008473F" w:rsidRDefault="0008473F" w:rsidP="00AB2FF7">
      <w:pPr>
        <w:bidi/>
        <w:jc w:val="both"/>
        <w:rPr>
          <w:rStyle w:val="CommentReference"/>
          <w:rFonts w:ascii="David" w:hAnsi="David" w:cs="David"/>
          <w:b/>
          <w:bCs/>
          <w:sz w:val="24"/>
          <w:szCs w:val="24"/>
        </w:rPr>
      </w:pPr>
      <w:r w:rsidRPr="0008473F">
        <w:rPr>
          <w:rStyle w:val="CommentReference"/>
          <w:rFonts w:ascii="David" w:hAnsi="David" w:cs="David"/>
          <w:b/>
          <w:bCs/>
          <w:sz w:val="24"/>
          <w:szCs w:val="24"/>
          <w:rtl/>
          <w:lang w:bidi="he-IL"/>
        </w:rPr>
        <w:t xml:space="preserve">ג </w:t>
      </w:r>
      <w:r w:rsidRPr="0008473F">
        <w:rPr>
          <w:rStyle w:val="CommentReference"/>
          <w:rFonts w:ascii="David" w:hAnsi="David" w:cs="David"/>
          <w:sz w:val="24"/>
          <w:szCs w:val="24"/>
          <w:rtl/>
          <w:lang w:bidi="he-IL"/>
        </w:rPr>
        <w:t xml:space="preserve">זה שנאמר בתורה כאשר יתן מום באדם כן ינתן בו אינו לחבול בזה כמו שחבל בחבירו אלא שהוא ראוי לחסרו אבר או לחבול בו כמו שעשה ולפיכך משלם נזקו, והרי הוא אומר </w:t>
      </w:r>
      <w:r w:rsidR="00AB2FF7">
        <w:rPr>
          <w:rStyle w:val="CommentReference"/>
          <w:rFonts w:ascii="David" w:hAnsi="David" w:cs="David" w:hint="cs"/>
          <w:sz w:val="24"/>
          <w:szCs w:val="24"/>
          <w:rtl/>
          <w:lang w:bidi="he-IL"/>
        </w:rPr>
        <w:t>(</w:t>
      </w:r>
      <w:r w:rsidRPr="0008473F">
        <w:rPr>
          <w:rStyle w:val="CommentReference"/>
          <w:rFonts w:ascii="David" w:hAnsi="David" w:cs="David"/>
          <w:sz w:val="24"/>
          <w:szCs w:val="24"/>
          <w:rtl/>
          <w:lang w:bidi="he-IL"/>
        </w:rPr>
        <w:t>במדבר ל"ה ל"א</w:t>
      </w:r>
      <w:r w:rsidR="00AB2FF7">
        <w:rPr>
          <w:rStyle w:val="CommentReference"/>
          <w:rFonts w:ascii="David" w:hAnsi="David" w:cs="David" w:hint="cs"/>
          <w:sz w:val="24"/>
          <w:szCs w:val="24"/>
          <w:rtl/>
          <w:lang w:bidi="he-IL"/>
        </w:rPr>
        <w:t>)</w:t>
      </w:r>
      <w:r w:rsidRPr="0008473F">
        <w:rPr>
          <w:rStyle w:val="CommentReference"/>
          <w:rFonts w:ascii="David" w:hAnsi="David" w:cs="David"/>
          <w:sz w:val="24"/>
          <w:szCs w:val="24"/>
          <w:rtl/>
          <w:lang w:bidi="he-IL"/>
        </w:rPr>
        <w:t xml:space="preserve"> ולא תקחו כופר לנפש רוצח, לרוצח בלבד הוא שאין כופר אבל לחסרון איברים או לחבלות יש כופר. </w:t>
      </w:r>
    </w:p>
    <w:p w:rsidR="0008473F" w:rsidRPr="0008473F" w:rsidRDefault="0008473F" w:rsidP="00160707">
      <w:pPr>
        <w:bidi/>
        <w:jc w:val="both"/>
        <w:rPr>
          <w:rStyle w:val="CommentReference"/>
          <w:rFonts w:ascii="David" w:hAnsi="David" w:cs="David"/>
          <w:b/>
          <w:bCs/>
          <w:sz w:val="24"/>
          <w:szCs w:val="24"/>
        </w:rPr>
      </w:pPr>
      <w:r w:rsidRPr="0008473F">
        <w:rPr>
          <w:rStyle w:val="CommentReference"/>
          <w:rFonts w:ascii="David" w:hAnsi="David" w:cs="David"/>
          <w:b/>
          <w:bCs/>
          <w:sz w:val="24"/>
          <w:szCs w:val="24"/>
          <w:rtl/>
          <w:lang w:bidi="he-IL"/>
        </w:rPr>
        <w:t xml:space="preserve">ד </w:t>
      </w:r>
      <w:r w:rsidRPr="0008473F">
        <w:rPr>
          <w:rStyle w:val="CommentReference"/>
          <w:rFonts w:ascii="David" w:hAnsi="David" w:cs="David"/>
          <w:sz w:val="24"/>
          <w:szCs w:val="24"/>
          <w:rtl/>
          <w:lang w:bidi="he-IL"/>
        </w:rPr>
        <w:t xml:space="preserve">וכן זה שנאמר בחובל בחבירו ומזיקו לא תחוס עינך שלא תחוס בתשלומין שמא תאמר עני הוא זה ושלא בכוונה חבל בו ארחמנו לכך נאמר לא תחוס עינך. </w:t>
      </w:r>
    </w:p>
    <w:p w:rsidR="0008473F" w:rsidRPr="0008473F" w:rsidRDefault="0008473F" w:rsidP="00160707">
      <w:pPr>
        <w:bidi/>
        <w:jc w:val="both"/>
        <w:rPr>
          <w:rStyle w:val="CommentReference"/>
          <w:rFonts w:ascii="David" w:hAnsi="David" w:cs="David"/>
          <w:b/>
          <w:bCs/>
          <w:sz w:val="24"/>
          <w:szCs w:val="24"/>
        </w:rPr>
      </w:pPr>
      <w:r w:rsidRPr="0008473F">
        <w:rPr>
          <w:rStyle w:val="CommentReference"/>
          <w:rFonts w:ascii="David" w:hAnsi="David" w:cs="David"/>
          <w:b/>
          <w:bCs/>
          <w:sz w:val="24"/>
          <w:szCs w:val="24"/>
          <w:rtl/>
          <w:lang w:bidi="he-IL"/>
        </w:rPr>
        <w:t xml:space="preserve">ה </w:t>
      </w:r>
      <w:r w:rsidRPr="0008473F">
        <w:rPr>
          <w:rStyle w:val="CommentReference"/>
          <w:rFonts w:ascii="David" w:hAnsi="David" w:cs="David"/>
          <w:sz w:val="24"/>
          <w:szCs w:val="24"/>
          <w:rtl/>
          <w:lang w:bidi="he-IL"/>
        </w:rPr>
        <w:t xml:space="preserve">ומנין שזה שנאמר באיברים עין תחת עין וכו' תשלומין הוא, שנאמר +משפטים כ"א כ"ה+ חבורה תחת חבורה ובפירוש נאמר וכי יכה איש את רעהו באבן או באגרוף וגו' רק שבתו יתן ורפא ירפא, הא למדת שתחת שנאמר בחבורה תשלומין, והוא הדין לתחת הנאמר בעין ובשאר איברים. </w:t>
      </w:r>
    </w:p>
    <w:p w:rsidR="0008473F" w:rsidRDefault="0008473F" w:rsidP="00160707">
      <w:pPr>
        <w:bidi/>
        <w:jc w:val="both"/>
        <w:rPr>
          <w:rStyle w:val="CommentReference"/>
          <w:rFonts w:ascii="David" w:hAnsi="David" w:cs="David" w:hint="cs"/>
          <w:sz w:val="24"/>
          <w:szCs w:val="24"/>
          <w:rtl/>
          <w:lang w:bidi="he-IL"/>
        </w:rPr>
      </w:pPr>
      <w:r w:rsidRPr="0008473F">
        <w:rPr>
          <w:rStyle w:val="CommentReference"/>
          <w:rFonts w:ascii="David" w:hAnsi="David" w:cs="David"/>
          <w:b/>
          <w:bCs/>
          <w:sz w:val="24"/>
          <w:szCs w:val="24"/>
          <w:rtl/>
          <w:lang w:bidi="he-IL"/>
        </w:rPr>
        <w:t xml:space="preserve">ו </w:t>
      </w:r>
      <w:r w:rsidRPr="0008473F">
        <w:rPr>
          <w:rStyle w:val="CommentReference"/>
          <w:rFonts w:ascii="David" w:hAnsi="David" w:cs="David"/>
          <w:sz w:val="24"/>
          <w:szCs w:val="24"/>
          <w:rtl/>
          <w:lang w:bidi="he-IL"/>
        </w:rPr>
        <w:t xml:space="preserve">אע"פ שדברים אלו נראים מענין תורה שבכתב כולן מפורשין הן מפי משה מהר סיני וכולן הלכה למעשה הן בידינו וכזה ראו אבותינו דנין בבית דינו של יהושע ובבית דינו של שמואל הרמתי ובכל בית דין ובית דין שעמדו מימות משה ועד עכשיו. </w:t>
      </w:r>
    </w:p>
    <w:p w:rsidR="0008473F" w:rsidRDefault="0008473F" w:rsidP="00160707">
      <w:pPr>
        <w:bidi/>
        <w:jc w:val="both"/>
        <w:rPr>
          <w:rStyle w:val="CommentReference"/>
          <w:rFonts w:ascii="David" w:hAnsi="David" w:cs="David" w:hint="cs"/>
          <w:sz w:val="24"/>
          <w:szCs w:val="24"/>
          <w:rtl/>
          <w:lang w:bidi="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77"/>
        <w:gridCol w:w="4428"/>
      </w:tblGrid>
      <w:tr w:rsidR="008E56FD" w:rsidTr="00AB2FF7">
        <w:tc>
          <w:tcPr>
            <w:tcW w:w="5077" w:type="dxa"/>
          </w:tcPr>
          <w:p w:rsidR="008E56FD" w:rsidRPr="008E56FD" w:rsidRDefault="008E56FD" w:rsidP="00160707">
            <w:pPr>
              <w:bidi/>
              <w:jc w:val="both"/>
              <w:rPr>
                <w:rStyle w:val="CommentReference"/>
                <w:rFonts w:ascii="David" w:hAnsi="David" w:cs="David" w:hint="cs"/>
                <w:b/>
                <w:bCs/>
                <w:sz w:val="24"/>
                <w:szCs w:val="24"/>
                <w:rtl/>
                <w:lang w:bidi="he-IL"/>
              </w:rPr>
            </w:pPr>
            <w:r w:rsidRPr="008E56FD">
              <w:rPr>
                <w:rStyle w:val="CommentReference"/>
                <w:rFonts w:ascii="David" w:hAnsi="David" w:cs="David" w:hint="cs"/>
                <w:b/>
                <w:bCs/>
                <w:sz w:val="24"/>
                <w:szCs w:val="24"/>
                <w:rtl/>
                <w:lang w:bidi="he-IL"/>
              </w:rPr>
              <w:t>מהרי"ץ חיות</w:t>
            </w:r>
          </w:p>
          <w:p w:rsidR="008E56FD" w:rsidRPr="0008473F" w:rsidRDefault="008E56FD" w:rsidP="00160707">
            <w:pPr>
              <w:bidi/>
              <w:jc w:val="both"/>
              <w:rPr>
                <w:rFonts w:ascii="David" w:hAnsi="David" w:cs="David"/>
                <w:rtl/>
                <w:lang w:bidi="he-IL"/>
              </w:rPr>
            </w:pPr>
            <w:r>
              <w:rPr>
                <w:noProof/>
                <w:lang w:bidi="he-IL"/>
              </w:rPr>
              <w:drawing>
                <wp:inline distT="0" distB="0" distL="0" distR="0" wp14:anchorId="2F6899BE" wp14:editId="5ADEDAC0">
                  <wp:extent cx="1631051" cy="3080179"/>
                  <wp:effectExtent l="0" t="635"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6200000">
                            <a:off x="0" y="0"/>
                            <a:ext cx="1636442" cy="3090360"/>
                          </a:xfrm>
                          <a:prstGeom prst="rect">
                            <a:avLst/>
                          </a:prstGeom>
                        </pic:spPr>
                      </pic:pic>
                    </a:graphicData>
                  </a:graphic>
                </wp:inline>
              </w:drawing>
            </w:r>
          </w:p>
          <w:p w:rsidR="008E56FD" w:rsidRDefault="008E56FD" w:rsidP="00160707">
            <w:pPr>
              <w:bidi/>
              <w:jc w:val="both"/>
              <w:rPr>
                <w:rStyle w:val="CommentReference"/>
                <w:rFonts w:ascii="David" w:hAnsi="David" w:cs="David" w:hint="cs"/>
                <w:b/>
                <w:bCs/>
                <w:sz w:val="24"/>
                <w:szCs w:val="24"/>
                <w:rtl/>
                <w:lang w:bidi="he-IL"/>
              </w:rPr>
            </w:pPr>
          </w:p>
        </w:tc>
        <w:tc>
          <w:tcPr>
            <w:tcW w:w="4428" w:type="dxa"/>
          </w:tcPr>
          <w:p w:rsidR="008E56FD" w:rsidRDefault="008E56FD" w:rsidP="00160707">
            <w:pPr>
              <w:bidi/>
              <w:jc w:val="both"/>
              <w:rPr>
                <w:rStyle w:val="CommentReference"/>
                <w:rFonts w:ascii="David" w:hAnsi="David" w:cs="David" w:hint="cs"/>
                <w:b/>
                <w:bCs/>
                <w:sz w:val="24"/>
                <w:szCs w:val="24"/>
                <w:rtl/>
                <w:lang w:bidi="he-IL"/>
              </w:rPr>
            </w:pPr>
            <w:r>
              <w:rPr>
                <w:rStyle w:val="CommentReference"/>
                <w:rFonts w:ascii="David" w:hAnsi="David" w:cs="David" w:hint="cs"/>
                <w:b/>
                <w:bCs/>
                <w:sz w:val="24"/>
                <w:szCs w:val="24"/>
                <w:rtl/>
                <w:lang w:bidi="he-IL"/>
              </w:rPr>
              <w:t>שעורים מצוינים בהלכה</w:t>
            </w:r>
          </w:p>
          <w:p w:rsidR="008E56FD" w:rsidRDefault="008E56FD" w:rsidP="00160707">
            <w:pPr>
              <w:bidi/>
              <w:jc w:val="both"/>
              <w:rPr>
                <w:rStyle w:val="CommentReference"/>
                <w:rFonts w:ascii="David" w:hAnsi="David" w:cs="David" w:hint="cs"/>
                <w:b/>
                <w:bCs/>
                <w:sz w:val="24"/>
                <w:szCs w:val="24"/>
                <w:rtl/>
                <w:lang w:bidi="he-IL"/>
              </w:rPr>
            </w:pPr>
            <w:r>
              <w:rPr>
                <w:noProof/>
                <w:lang w:bidi="he-IL"/>
              </w:rPr>
              <w:drawing>
                <wp:inline distT="0" distB="0" distL="0" distR="0" wp14:anchorId="327AD197" wp14:editId="2CC75F87">
                  <wp:extent cx="2596896" cy="2541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0761" cy="2545294"/>
                          </a:xfrm>
                          <a:prstGeom prst="rect">
                            <a:avLst/>
                          </a:prstGeom>
                        </pic:spPr>
                      </pic:pic>
                    </a:graphicData>
                  </a:graphic>
                </wp:inline>
              </w:drawing>
            </w:r>
          </w:p>
        </w:tc>
      </w:tr>
    </w:tbl>
    <w:p w:rsidR="00AB2FF7" w:rsidRDefault="00AB2FF7" w:rsidP="00AB2FF7">
      <w:pPr>
        <w:bidi/>
        <w:jc w:val="both"/>
        <w:rPr>
          <w:rFonts w:ascii="David" w:hAnsi="David" w:cs="David" w:hint="cs"/>
          <w:b/>
          <w:bCs/>
          <w:rtl/>
          <w:lang w:bidi="he-IL"/>
        </w:rPr>
      </w:pPr>
    </w:p>
    <w:p w:rsidR="00AB2FF7" w:rsidRPr="0008473F" w:rsidRDefault="00AB2FF7" w:rsidP="00AB2FF7">
      <w:pPr>
        <w:bidi/>
        <w:jc w:val="both"/>
        <w:rPr>
          <w:rFonts w:ascii="David" w:hAnsi="David" w:cs="David"/>
          <w:b/>
          <w:bCs/>
          <w:rtl/>
        </w:rPr>
      </w:pPr>
      <w:r w:rsidRPr="0008473F">
        <w:rPr>
          <w:rFonts w:ascii="David" w:hAnsi="David" w:cs="David"/>
          <w:b/>
          <w:bCs/>
          <w:rtl/>
        </w:rPr>
        <w:t>ר' דוד צבי הופמן, דברים יט:כא</w:t>
      </w:r>
    </w:p>
    <w:p w:rsidR="00AB2FF7" w:rsidRPr="0008473F" w:rsidRDefault="00AB2FF7" w:rsidP="00AB2FF7">
      <w:pPr>
        <w:bidi/>
        <w:jc w:val="both"/>
        <w:rPr>
          <w:rFonts w:ascii="David" w:hAnsi="David" w:cs="David"/>
          <w:rtl/>
        </w:rPr>
      </w:pPr>
      <w:r w:rsidRPr="0008473F">
        <w:rPr>
          <w:rFonts w:ascii="David" w:hAnsi="David" w:cs="David"/>
          <w:rtl/>
        </w:rPr>
        <w:t xml:space="preserve">יוסף בן מתתיהו כותב, </w:t>
      </w:r>
      <w:r w:rsidRPr="0008473F">
        <w:rPr>
          <w:rFonts w:ascii="David" w:hAnsi="David" w:cs="David"/>
          <w:u w:val="single"/>
          <w:rtl/>
        </w:rPr>
        <w:t>שמעיקר הדין היה ראוי לקיים עין בעין ממש, אלא שהרשות נתונה לקחת תשלום ממון</w:t>
      </w:r>
      <w:r w:rsidRPr="0008473F">
        <w:rPr>
          <w:rFonts w:ascii="David" w:hAnsi="David" w:cs="David"/>
          <w:rtl/>
        </w:rPr>
        <w:t xml:space="preserve">. ויש להוכיח זאת מבמדבר ל"ה:ל"א. גם חכמינו זכרונם לברכה הסתמכו על מקרא זה. אולי אמרה תורה בלשון זו, </w:t>
      </w:r>
      <w:r w:rsidRPr="0008473F">
        <w:rPr>
          <w:rFonts w:ascii="David" w:hAnsi="David" w:cs="David"/>
          <w:u w:val="single"/>
          <w:rtl/>
        </w:rPr>
        <w:t>כדי לרמז לדיינים שהרשות בידם להחמיר בדין אם השעה צריכה לכך</w:t>
      </w:r>
      <w:r w:rsidRPr="0008473F">
        <w:rPr>
          <w:rFonts w:ascii="David" w:hAnsi="David" w:cs="David"/>
          <w:rtl/>
        </w:rPr>
        <w:t>...</w:t>
      </w:r>
    </w:p>
    <w:p w:rsidR="00AA188D" w:rsidRPr="0008473F" w:rsidRDefault="00AA188D" w:rsidP="00160707">
      <w:pPr>
        <w:bidi/>
        <w:jc w:val="both"/>
        <w:rPr>
          <w:rFonts w:ascii="David" w:hAnsi="David" w:cs="David"/>
          <w:rtl/>
        </w:rPr>
      </w:pPr>
    </w:p>
    <w:sectPr w:rsidR="00AA188D" w:rsidRPr="0008473F" w:rsidSect="008E56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C"/>
    <w:rsid w:val="0008473F"/>
    <w:rsid w:val="00160707"/>
    <w:rsid w:val="006E618E"/>
    <w:rsid w:val="008E56FD"/>
    <w:rsid w:val="0096472D"/>
    <w:rsid w:val="00A22423"/>
    <w:rsid w:val="00AA188D"/>
    <w:rsid w:val="00AB2FF7"/>
    <w:rsid w:val="00C74E7D"/>
    <w:rsid w:val="00D83A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2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3A6C"/>
    <w:rPr>
      <w:rFonts w:ascii="Tahoma" w:hAnsi="Tahoma" w:cs="Tahoma"/>
      <w:sz w:val="16"/>
      <w:szCs w:val="16"/>
    </w:rPr>
  </w:style>
  <w:style w:type="character" w:customStyle="1" w:styleId="BalloonTextChar">
    <w:name w:val="Balloon Text Char"/>
    <w:basedOn w:val="DefaultParagraphFont"/>
    <w:link w:val="BalloonText"/>
    <w:rsid w:val="00D83A6C"/>
    <w:rPr>
      <w:rFonts w:ascii="Tahoma" w:hAnsi="Tahoma" w:cs="Tahoma"/>
      <w:sz w:val="16"/>
      <w:szCs w:val="16"/>
    </w:rPr>
  </w:style>
  <w:style w:type="character" w:styleId="CommentReference">
    <w:name w:val="annotation reference"/>
    <w:basedOn w:val="DefaultParagraphFont"/>
    <w:unhideWhenUsed/>
    <w:rsid w:val="00AA188D"/>
    <w:rPr>
      <w:sz w:val="16"/>
      <w:szCs w:val="16"/>
    </w:rPr>
  </w:style>
  <w:style w:type="paragraph" w:styleId="CommentText">
    <w:name w:val="annotation text"/>
    <w:basedOn w:val="Normal"/>
    <w:link w:val="CommentTextChar"/>
    <w:unhideWhenUsed/>
    <w:rsid w:val="00AA188D"/>
    <w:rPr>
      <w:sz w:val="20"/>
      <w:szCs w:val="20"/>
      <w:lang w:bidi="he-IL"/>
    </w:rPr>
  </w:style>
  <w:style w:type="character" w:customStyle="1" w:styleId="CommentTextChar">
    <w:name w:val="Comment Text Char"/>
    <w:basedOn w:val="DefaultParagraphFont"/>
    <w:link w:val="CommentText"/>
    <w:rsid w:val="00AA188D"/>
    <w:rPr>
      <w:lang w:bidi="he-IL"/>
    </w:rPr>
  </w:style>
  <w:style w:type="paragraph" w:styleId="Title">
    <w:name w:val="Title"/>
    <w:basedOn w:val="Normal"/>
    <w:next w:val="Normal"/>
    <w:link w:val="TitleChar"/>
    <w:qFormat/>
    <w:rsid w:val="000847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473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E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2F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2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3A6C"/>
    <w:rPr>
      <w:rFonts w:ascii="Tahoma" w:hAnsi="Tahoma" w:cs="Tahoma"/>
      <w:sz w:val="16"/>
      <w:szCs w:val="16"/>
    </w:rPr>
  </w:style>
  <w:style w:type="character" w:customStyle="1" w:styleId="BalloonTextChar">
    <w:name w:val="Balloon Text Char"/>
    <w:basedOn w:val="DefaultParagraphFont"/>
    <w:link w:val="BalloonText"/>
    <w:rsid w:val="00D83A6C"/>
    <w:rPr>
      <w:rFonts w:ascii="Tahoma" w:hAnsi="Tahoma" w:cs="Tahoma"/>
      <w:sz w:val="16"/>
      <w:szCs w:val="16"/>
    </w:rPr>
  </w:style>
  <w:style w:type="character" w:styleId="CommentReference">
    <w:name w:val="annotation reference"/>
    <w:basedOn w:val="DefaultParagraphFont"/>
    <w:unhideWhenUsed/>
    <w:rsid w:val="00AA188D"/>
    <w:rPr>
      <w:sz w:val="16"/>
      <w:szCs w:val="16"/>
    </w:rPr>
  </w:style>
  <w:style w:type="paragraph" w:styleId="CommentText">
    <w:name w:val="annotation text"/>
    <w:basedOn w:val="Normal"/>
    <w:link w:val="CommentTextChar"/>
    <w:unhideWhenUsed/>
    <w:rsid w:val="00AA188D"/>
    <w:rPr>
      <w:sz w:val="20"/>
      <w:szCs w:val="20"/>
      <w:lang w:bidi="he-IL"/>
    </w:rPr>
  </w:style>
  <w:style w:type="character" w:customStyle="1" w:styleId="CommentTextChar">
    <w:name w:val="Comment Text Char"/>
    <w:basedOn w:val="DefaultParagraphFont"/>
    <w:link w:val="CommentText"/>
    <w:rsid w:val="00AA188D"/>
    <w:rPr>
      <w:lang w:bidi="he-IL"/>
    </w:rPr>
  </w:style>
  <w:style w:type="paragraph" w:styleId="Title">
    <w:name w:val="Title"/>
    <w:basedOn w:val="Normal"/>
    <w:next w:val="Normal"/>
    <w:link w:val="TitleChar"/>
    <w:qFormat/>
    <w:rsid w:val="000847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473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E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2F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4</cp:revision>
  <dcterms:created xsi:type="dcterms:W3CDTF">2017-10-28T19:22:00Z</dcterms:created>
  <dcterms:modified xsi:type="dcterms:W3CDTF">2017-10-30T18:11:00Z</dcterms:modified>
</cp:coreProperties>
</file>