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b w:val="1"/>
          <w:sz w:val="28"/>
          <w:szCs w:val="28"/>
          <w:u w:val="single"/>
          <w:rtl w:val="0"/>
        </w:rPr>
        <w:t xml:space="preserve">Yom Kippur 5777- The Most Successful Prophet in History</w:t>
      </w:r>
    </w:p>
    <w:p w:rsidR="00000000" w:rsidDel="00000000" w:rsidP="00000000" w:rsidRDefault="00000000" w:rsidRPr="00000000">
      <w:pPr>
        <w:widowControl w:val="0"/>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6"/>
          <w:szCs w:val="26"/>
        </w:rPr>
      </w:pPr>
      <w:r w:rsidDel="00000000" w:rsidR="00000000" w:rsidRPr="00000000">
        <w:rPr>
          <w:rFonts w:ascii="Gentium Book Basic" w:cs="Gentium Book Basic" w:eastAsia="Gentium Book Basic" w:hAnsi="Gentium Book Basic"/>
          <w:b w:val="1"/>
          <w:sz w:val="26"/>
          <w:szCs w:val="26"/>
          <w:highlight w:val="white"/>
          <w:u w:val="single"/>
          <w:rtl w:val="0"/>
        </w:rPr>
        <w:t xml:space="preserve">Yonah Ch. 4</w:t>
      </w:r>
    </w:p>
    <w:p w:rsidR="00000000" w:rsidDel="00000000" w:rsidP="00000000" w:rsidRDefault="00000000" w:rsidRPr="00000000">
      <w:pPr>
        <w:widowControl w:val="0"/>
        <w:bidi w:val="1"/>
        <w:spacing w:after="0" w:line="276" w:lineRule="auto"/>
        <w:contextualSpacing w:val="0"/>
        <w:jc w:val="center"/>
      </w:pP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ג</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פ</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tl w:val="0"/>
        </w:rPr>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ז</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כ</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ן</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ק</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כ</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b w:val="1"/>
          <w:sz w:val="28"/>
          <w:szCs w:val="28"/>
          <w:highlight w:val="white"/>
          <w:rtl w:val="1"/>
        </w:rPr>
        <w:t xml:space="preserve">כ</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י</w:t>
      </w:r>
      <w:r w:rsidDel="00000000" w:rsidR="00000000" w:rsidRPr="00000000">
        <w:rPr>
          <w:rFonts w:ascii="Narkisim" w:cs="Narkisim" w:eastAsia="Narkisim" w:hAnsi="Narkisim"/>
          <w:b w:val="1"/>
          <w:sz w:val="28"/>
          <w:szCs w:val="28"/>
          <w:highlight w:val="white"/>
          <w:rtl w:val="1"/>
        </w:rPr>
        <w:t xml:space="preserve"> </w:t>
      </w:r>
      <w:r w:rsidDel="00000000" w:rsidR="00000000" w:rsidRPr="00000000">
        <w:rPr>
          <w:rFonts w:ascii="Narkisim" w:cs="Narkisim" w:eastAsia="Narkisim" w:hAnsi="Narkisim"/>
          <w:b w:val="1"/>
          <w:sz w:val="28"/>
          <w:szCs w:val="28"/>
          <w:highlight w:val="white"/>
          <w:rtl w:val="1"/>
        </w:rPr>
        <w:t xml:space="preserve">א</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ת</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ה</w:t>
      </w:r>
      <w:r w:rsidDel="00000000" w:rsidR="00000000" w:rsidRPr="00000000">
        <w:rPr>
          <w:rFonts w:ascii="Narkisim" w:cs="Narkisim" w:eastAsia="Narkisim" w:hAnsi="Narkisim"/>
          <w:b w:val="1"/>
          <w:sz w:val="28"/>
          <w:szCs w:val="28"/>
          <w:highlight w:val="white"/>
          <w:rtl w:val="1"/>
        </w:rPr>
        <w:t xml:space="preserve">֙ </w:t>
      </w:r>
      <w:r w:rsidDel="00000000" w:rsidR="00000000" w:rsidRPr="00000000">
        <w:rPr>
          <w:rFonts w:ascii="Narkisim" w:cs="Narkisim" w:eastAsia="Narkisim" w:hAnsi="Narkisim"/>
          <w:b w:val="1"/>
          <w:sz w:val="28"/>
          <w:szCs w:val="28"/>
          <w:highlight w:val="white"/>
          <w:rtl w:val="1"/>
        </w:rPr>
        <w:t xml:space="preserve">א</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ל</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ח</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נ</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ו</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ן</w:t>
      </w:r>
      <w:r w:rsidDel="00000000" w:rsidR="00000000" w:rsidRPr="00000000">
        <w:rPr>
          <w:rFonts w:ascii="Narkisim" w:cs="Narkisim" w:eastAsia="Narkisim" w:hAnsi="Narkisim"/>
          <w:b w:val="1"/>
          <w:sz w:val="28"/>
          <w:szCs w:val="28"/>
          <w:highlight w:val="white"/>
          <w:rtl w:val="1"/>
        </w:rPr>
        <w:t xml:space="preserve"> </w:t>
      </w:r>
      <w:r w:rsidDel="00000000" w:rsidR="00000000" w:rsidRPr="00000000">
        <w:rPr>
          <w:rFonts w:ascii="Narkisim" w:cs="Narkisim" w:eastAsia="Narkisim" w:hAnsi="Narkisim"/>
          <w:b w:val="1"/>
          <w:sz w:val="28"/>
          <w:szCs w:val="28"/>
          <w:highlight w:val="white"/>
          <w:rtl w:val="1"/>
        </w:rPr>
        <w:t xml:space="preserve">ו</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ר</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ח</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ו</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ם</w:t>
      </w:r>
      <w:r w:rsidDel="00000000" w:rsidR="00000000" w:rsidRPr="00000000">
        <w:rPr>
          <w:rFonts w:ascii="Narkisim" w:cs="Narkisim" w:eastAsia="Narkisim" w:hAnsi="Narkisim"/>
          <w:b w:val="1"/>
          <w:sz w:val="28"/>
          <w:szCs w:val="28"/>
          <w:highlight w:val="white"/>
          <w:rtl w:val="1"/>
        </w:rPr>
        <w:t xml:space="preserve"> </w:t>
      </w:r>
      <w:r w:rsidDel="00000000" w:rsidR="00000000" w:rsidRPr="00000000">
        <w:rPr>
          <w:rFonts w:ascii="Narkisim" w:cs="Narkisim" w:eastAsia="Narkisim" w:hAnsi="Narkisim"/>
          <w:b w:val="1"/>
          <w:sz w:val="28"/>
          <w:szCs w:val="28"/>
          <w:highlight w:val="white"/>
          <w:rtl w:val="1"/>
        </w:rPr>
        <w:t xml:space="preserve">א</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ר</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ך</w:t>
      </w:r>
      <w:r w:rsidDel="00000000" w:rsidR="00000000" w:rsidRPr="00000000">
        <w:rPr>
          <w:rFonts w:ascii="Narkisim" w:cs="Narkisim" w:eastAsia="Narkisim" w:hAnsi="Narkisim"/>
          <w:b w:val="1"/>
          <w:sz w:val="28"/>
          <w:szCs w:val="28"/>
          <w:highlight w:val="white"/>
          <w:rtl w:val="1"/>
        </w:rPr>
        <w:t xml:space="preserve">ְ </w:t>
      </w:r>
      <w:r w:rsidDel="00000000" w:rsidR="00000000" w:rsidRPr="00000000">
        <w:rPr>
          <w:rFonts w:ascii="Narkisim" w:cs="Narkisim" w:eastAsia="Narkisim" w:hAnsi="Narkisim"/>
          <w:b w:val="1"/>
          <w:sz w:val="28"/>
          <w:szCs w:val="28"/>
          <w:highlight w:val="white"/>
          <w:rtl w:val="1"/>
        </w:rPr>
        <w:t xml:space="preserve">א</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פ</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י</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ם</w:t>
      </w:r>
      <w:r w:rsidDel="00000000" w:rsidR="00000000" w:rsidRPr="00000000">
        <w:rPr>
          <w:rFonts w:ascii="Narkisim" w:cs="Narkisim" w:eastAsia="Narkisim" w:hAnsi="Narkisim"/>
          <w:b w:val="1"/>
          <w:sz w:val="28"/>
          <w:szCs w:val="28"/>
          <w:highlight w:val="white"/>
          <w:rtl w:val="1"/>
        </w:rPr>
        <w:t xml:space="preserve">֙ </w:t>
      </w:r>
      <w:r w:rsidDel="00000000" w:rsidR="00000000" w:rsidRPr="00000000">
        <w:rPr>
          <w:rFonts w:ascii="Narkisim" w:cs="Narkisim" w:eastAsia="Narkisim" w:hAnsi="Narkisim"/>
          <w:b w:val="1"/>
          <w:sz w:val="28"/>
          <w:szCs w:val="28"/>
          <w:highlight w:val="white"/>
          <w:rtl w:val="1"/>
        </w:rPr>
        <w:t xml:space="preserve">ו</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ר</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ב</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ח</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ס</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ד</w:t>
      </w:r>
      <w:r w:rsidDel="00000000" w:rsidR="00000000" w:rsidRPr="00000000">
        <w:rPr>
          <w:rFonts w:ascii="Narkisim" w:cs="Narkisim" w:eastAsia="Narkisim" w:hAnsi="Narkisim"/>
          <w:b w:val="1"/>
          <w:sz w:val="28"/>
          <w:szCs w:val="28"/>
          <w:highlight w:val="white"/>
          <w:rtl w:val="1"/>
        </w:rPr>
        <w:t xml:space="preserve"> </w:t>
      </w:r>
      <w:r w:rsidDel="00000000" w:rsidR="00000000" w:rsidRPr="00000000">
        <w:rPr>
          <w:rFonts w:ascii="Narkisim" w:cs="Narkisim" w:eastAsia="Narkisim" w:hAnsi="Narkisim"/>
          <w:b w:val="1"/>
          <w:sz w:val="28"/>
          <w:szCs w:val="28"/>
          <w:highlight w:val="white"/>
          <w:rtl w:val="1"/>
        </w:rPr>
        <w:t xml:space="preserve">ו</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נ</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ח</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ם</w:t>
      </w:r>
      <w:r w:rsidDel="00000000" w:rsidR="00000000" w:rsidRPr="00000000">
        <w:rPr>
          <w:rFonts w:ascii="Narkisim" w:cs="Narkisim" w:eastAsia="Narkisim" w:hAnsi="Narkisim"/>
          <w:b w:val="1"/>
          <w:sz w:val="28"/>
          <w:szCs w:val="28"/>
          <w:highlight w:val="white"/>
          <w:rtl w:val="1"/>
        </w:rPr>
        <w:t xml:space="preserve"> </w:t>
      </w:r>
      <w:r w:rsidDel="00000000" w:rsidR="00000000" w:rsidRPr="00000000">
        <w:rPr>
          <w:rFonts w:ascii="Narkisim" w:cs="Narkisim" w:eastAsia="Narkisim" w:hAnsi="Narkisim"/>
          <w:b w:val="1"/>
          <w:sz w:val="28"/>
          <w:szCs w:val="28"/>
          <w:highlight w:val="white"/>
          <w:rtl w:val="1"/>
        </w:rPr>
        <w:t xml:space="preserve">ע</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ל</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ה</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ר</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ע</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ה</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sz w:val="28"/>
          <w:szCs w:val="28"/>
          <w:highlight w:val="white"/>
          <w:rtl w:val="0"/>
        </w:rPr>
        <w:t xml:space="preserve"> </w:t>
      </w:r>
      <w:r w:rsidDel="00000000" w:rsidR="00000000" w:rsidRPr="00000000">
        <w:rPr>
          <w:rFonts w:ascii="Narkisim" w:cs="Narkisim" w:eastAsia="Narkisim" w:hAnsi="Narkisim"/>
          <w:sz w:val="28"/>
          <w:szCs w:val="28"/>
          <w:highlight w:val="white"/>
          <w:rtl w:val="1"/>
        </w:rPr>
        <w:t xml:space="preserve">ג</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ק</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פ</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כ</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ט</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מו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ס</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יט</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ך</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צ</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יו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ן</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ק</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ם</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ם</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ס</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כ</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צ</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ן</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קים</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ק</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יק</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ן</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 ׀ </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צ</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צ</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יל</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יו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ק</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יק</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ן</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ג</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ז</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ן</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ק</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ם</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ך</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ק</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יק</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ן</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 </w:t>
      </w:r>
      <w:r w:rsidDel="00000000" w:rsidR="00000000" w:rsidRPr="00000000">
        <w:rPr>
          <w:rFonts w:ascii="Narkisim" w:cs="Narkisim" w:eastAsia="Narkisim" w:hAnsi="Narkisim"/>
          <w:sz w:val="28"/>
          <w:szCs w:val="28"/>
          <w:highlight w:val="white"/>
          <w:rtl w:val="1"/>
        </w:rPr>
        <w:t xml:space="preserve">כ</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ז</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ן</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ים</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ק</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ים</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ית</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ך</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אש</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יו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ף</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פ</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ט</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מו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ט</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קים</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יט</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ך</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ק</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יק</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ן</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יט</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ס</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ק</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יק</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ן</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ג</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ן</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ן</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יא</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ס</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ג</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ת</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ים</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ם</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ין</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מ</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tl w:val="1"/>
        </w:rPr>
      </w:r>
      <w:r w:rsidDel="00000000" w:rsidR="00000000" w:rsidRPr="00000000">
        <w:rPr>
          <w:rFonts w:ascii="Narkisim" w:cs="Narkisim" w:eastAsia="Narkisim" w:hAnsi="Narkisim"/>
          <w:sz w:val="28"/>
          <w:szCs w:val="28"/>
          <w:highlight w:val="white"/>
          <w:rtl w:val="1"/>
        </w:rPr>
        <w:t xml:space="preserve">׃</w:t>
      </w:r>
    </w:p>
    <w:p w:rsidR="00000000" w:rsidDel="00000000" w:rsidP="00000000" w:rsidRDefault="00000000" w:rsidRPr="00000000">
      <w:pPr>
        <w:widowControl w:val="0"/>
        <w:spacing w:line="259.20000000000005" w:lineRule="auto"/>
        <w:contextualSpacing w:val="0"/>
        <w:jc w:val="center"/>
      </w:pPr>
      <w:r w:rsidDel="00000000" w:rsidR="00000000" w:rsidRPr="00000000">
        <w:rPr>
          <w:rFonts w:ascii="Gentium Book Basic" w:cs="Gentium Book Basic" w:eastAsia="Gentium Book Basic" w:hAnsi="Gentium Book Basic"/>
          <w:sz w:val="28"/>
          <w:szCs w:val="28"/>
          <w:rtl w:val="0"/>
        </w:rPr>
        <w:t xml:space="preserve">1 </w:t>
      </w:r>
      <w:r w:rsidDel="00000000" w:rsidR="00000000" w:rsidRPr="00000000">
        <w:rPr>
          <w:rFonts w:ascii="Gentium Book Basic" w:cs="Gentium Book Basic" w:eastAsia="Gentium Book Basic" w:hAnsi="Gentium Book Basic"/>
          <w:sz w:val="28"/>
          <w:szCs w:val="28"/>
          <w:rtl w:val="0"/>
        </w:rPr>
        <w:t xml:space="preserve">This displeased Jonah greatly, and he was grieved. </w:t>
      </w:r>
      <w:r w:rsidDel="00000000" w:rsidR="00000000" w:rsidRPr="00000000">
        <w:rPr>
          <w:rFonts w:ascii="Gentium Book Basic" w:cs="Gentium Book Basic" w:eastAsia="Gentium Book Basic" w:hAnsi="Gentium Book Basic"/>
          <w:sz w:val="28"/>
          <w:szCs w:val="28"/>
          <w:rtl w:val="0"/>
        </w:rPr>
        <w:t xml:space="preserve">2 </w:t>
      </w:r>
      <w:r w:rsidDel="00000000" w:rsidR="00000000" w:rsidRPr="00000000">
        <w:rPr>
          <w:rFonts w:ascii="Gentium Book Basic" w:cs="Gentium Book Basic" w:eastAsia="Gentium Book Basic" w:hAnsi="Gentium Book Basic"/>
          <w:sz w:val="28"/>
          <w:szCs w:val="28"/>
          <w:rtl w:val="0"/>
        </w:rPr>
        <w:t xml:space="preserve">He prayed to the LORD, saying, “O LORD! Isn’t this just what I said when I was still in my own country? That is why I fled beforehand to Tarshish. </w:t>
      </w:r>
      <w:r w:rsidDel="00000000" w:rsidR="00000000" w:rsidRPr="00000000">
        <w:rPr>
          <w:rFonts w:ascii="Gentium Book Basic" w:cs="Gentium Book Basic" w:eastAsia="Gentium Book Basic" w:hAnsi="Gentium Book Basic"/>
          <w:b w:val="1"/>
          <w:sz w:val="28"/>
          <w:szCs w:val="28"/>
          <w:rtl w:val="0"/>
        </w:rPr>
        <w:t xml:space="preserve">For I know that You are a compassionate and gracious God, slow to anger, abounding in kindness, renouncing punishment.</w:t>
      </w:r>
      <w:r w:rsidDel="00000000" w:rsidR="00000000" w:rsidRPr="00000000">
        <w:rPr>
          <w:rFonts w:ascii="Gentium Book Basic" w:cs="Gentium Book Basic" w:eastAsia="Gentium Book Basic" w:hAnsi="Gentium Book Basic"/>
          <w:sz w:val="28"/>
          <w:szCs w:val="28"/>
          <w:rtl w:val="0"/>
        </w:rPr>
        <w:t xml:space="preserve"> </w:t>
      </w:r>
      <w:r w:rsidDel="00000000" w:rsidR="00000000" w:rsidRPr="00000000">
        <w:rPr>
          <w:rFonts w:ascii="Gentium Book Basic" w:cs="Gentium Book Basic" w:eastAsia="Gentium Book Basic" w:hAnsi="Gentium Book Basic"/>
          <w:sz w:val="28"/>
          <w:szCs w:val="28"/>
          <w:rtl w:val="0"/>
        </w:rPr>
        <w:t xml:space="preserve">3 </w:t>
      </w:r>
      <w:r w:rsidDel="00000000" w:rsidR="00000000" w:rsidRPr="00000000">
        <w:rPr>
          <w:rFonts w:ascii="Gentium Book Basic" w:cs="Gentium Book Basic" w:eastAsia="Gentium Book Basic" w:hAnsi="Gentium Book Basic"/>
          <w:sz w:val="28"/>
          <w:szCs w:val="28"/>
          <w:rtl w:val="0"/>
        </w:rPr>
        <w:t xml:space="preserve">Please, LORD, take my life, for I would rather die than live.” </w:t>
      </w:r>
      <w:r w:rsidDel="00000000" w:rsidR="00000000" w:rsidRPr="00000000">
        <w:rPr>
          <w:rFonts w:ascii="Gentium Book Basic" w:cs="Gentium Book Basic" w:eastAsia="Gentium Book Basic" w:hAnsi="Gentium Book Basic"/>
          <w:sz w:val="28"/>
          <w:szCs w:val="28"/>
          <w:rtl w:val="0"/>
        </w:rPr>
        <w:t xml:space="preserve">4 </w:t>
      </w:r>
      <w:r w:rsidDel="00000000" w:rsidR="00000000" w:rsidRPr="00000000">
        <w:rPr>
          <w:rFonts w:ascii="Gentium Book Basic" w:cs="Gentium Book Basic" w:eastAsia="Gentium Book Basic" w:hAnsi="Gentium Book Basic"/>
          <w:sz w:val="28"/>
          <w:szCs w:val="28"/>
          <w:rtl w:val="0"/>
        </w:rPr>
        <w:t xml:space="preserve">The LORD replied, “Are you that deeply grieved?” </w:t>
      </w:r>
      <w:r w:rsidDel="00000000" w:rsidR="00000000" w:rsidRPr="00000000">
        <w:rPr>
          <w:rFonts w:ascii="Gentium Book Basic" w:cs="Gentium Book Basic" w:eastAsia="Gentium Book Basic" w:hAnsi="Gentium Book Basic"/>
          <w:sz w:val="28"/>
          <w:szCs w:val="28"/>
          <w:rtl w:val="0"/>
        </w:rPr>
        <w:t xml:space="preserve">5 </w:t>
      </w:r>
      <w:r w:rsidDel="00000000" w:rsidR="00000000" w:rsidRPr="00000000">
        <w:rPr>
          <w:rFonts w:ascii="Gentium Book Basic" w:cs="Gentium Book Basic" w:eastAsia="Gentium Book Basic" w:hAnsi="Gentium Book Basic"/>
          <w:sz w:val="28"/>
          <w:szCs w:val="28"/>
          <w:rtl w:val="0"/>
        </w:rPr>
        <w:t xml:space="preserve">Now Jonah had left the city and found a place east of the city. He made a booth there and sat under it in the shade, until he should see what happened to the city. </w:t>
      </w:r>
      <w:r w:rsidDel="00000000" w:rsidR="00000000" w:rsidRPr="00000000">
        <w:rPr>
          <w:rFonts w:ascii="Gentium Book Basic" w:cs="Gentium Book Basic" w:eastAsia="Gentium Book Basic" w:hAnsi="Gentium Book Basic"/>
          <w:sz w:val="28"/>
          <w:szCs w:val="28"/>
          <w:rtl w:val="0"/>
        </w:rPr>
        <w:t xml:space="preserve">6 </w:t>
      </w:r>
      <w:r w:rsidDel="00000000" w:rsidR="00000000" w:rsidRPr="00000000">
        <w:rPr>
          <w:rFonts w:ascii="Gentium Book Basic" w:cs="Gentium Book Basic" w:eastAsia="Gentium Book Basic" w:hAnsi="Gentium Book Basic"/>
          <w:sz w:val="28"/>
          <w:szCs w:val="28"/>
          <w:rtl w:val="0"/>
        </w:rPr>
        <w:t xml:space="preserve">The LORD God provided a ricinus plant, which grew up over Jonah, to provide shade for his head and save him from discomfort. Jonah was very happy about the plant. </w:t>
      </w:r>
      <w:r w:rsidDel="00000000" w:rsidR="00000000" w:rsidRPr="00000000">
        <w:rPr>
          <w:rFonts w:ascii="Gentium Book Basic" w:cs="Gentium Book Basic" w:eastAsia="Gentium Book Basic" w:hAnsi="Gentium Book Basic"/>
          <w:sz w:val="28"/>
          <w:szCs w:val="28"/>
          <w:rtl w:val="0"/>
        </w:rPr>
        <w:t xml:space="preserve">7 </w:t>
      </w:r>
      <w:r w:rsidDel="00000000" w:rsidR="00000000" w:rsidRPr="00000000">
        <w:rPr>
          <w:rFonts w:ascii="Gentium Book Basic" w:cs="Gentium Book Basic" w:eastAsia="Gentium Book Basic" w:hAnsi="Gentium Book Basic"/>
          <w:sz w:val="28"/>
          <w:szCs w:val="28"/>
          <w:rtl w:val="0"/>
        </w:rPr>
        <w:t xml:space="preserve">But the next day at dawn God provided a worm, which attacked the plant so that it withered. </w:t>
      </w:r>
      <w:r w:rsidDel="00000000" w:rsidR="00000000" w:rsidRPr="00000000">
        <w:rPr>
          <w:rFonts w:ascii="Gentium Book Basic" w:cs="Gentium Book Basic" w:eastAsia="Gentium Book Basic" w:hAnsi="Gentium Book Basic"/>
          <w:sz w:val="28"/>
          <w:szCs w:val="28"/>
          <w:rtl w:val="0"/>
        </w:rPr>
        <w:t xml:space="preserve">8 </w:t>
      </w:r>
      <w:r w:rsidDel="00000000" w:rsidR="00000000" w:rsidRPr="00000000">
        <w:rPr>
          <w:rFonts w:ascii="Gentium Book Basic" w:cs="Gentium Book Basic" w:eastAsia="Gentium Book Basic" w:hAnsi="Gentium Book Basic"/>
          <w:sz w:val="28"/>
          <w:szCs w:val="28"/>
          <w:rtl w:val="0"/>
        </w:rPr>
        <w:t xml:space="preserve">And when the sun rose, God provided a sultry east wind; the sun beat down on Jonah’s head, and he became faint. He begged for death, saying, “I would rather die than live.” </w:t>
      </w:r>
      <w:r w:rsidDel="00000000" w:rsidR="00000000" w:rsidRPr="00000000">
        <w:rPr>
          <w:rFonts w:ascii="Gentium Book Basic" w:cs="Gentium Book Basic" w:eastAsia="Gentium Book Basic" w:hAnsi="Gentium Book Basic"/>
          <w:sz w:val="28"/>
          <w:szCs w:val="28"/>
          <w:rtl w:val="0"/>
        </w:rPr>
        <w:t xml:space="preserve">9 </w:t>
      </w:r>
      <w:r w:rsidDel="00000000" w:rsidR="00000000" w:rsidRPr="00000000">
        <w:rPr>
          <w:rFonts w:ascii="Gentium Book Basic" w:cs="Gentium Book Basic" w:eastAsia="Gentium Book Basic" w:hAnsi="Gentium Book Basic"/>
          <w:sz w:val="28"/>
          <w:szCs w:val="28"/>
          <w:rtl w:val="0"/>
        </w:rPr>
        <w:t xml:space="preserve">Then God said to Jonah, “Are you so deeply grieved about the plant?” “Yes,” he replied, “so deeply that I want to die.” </w:t>
      </w:r>
      <w:r w:rsidDel="00000000" w:rsidR="00000000" w:rsidRPr="00000000">
        <w:rPr>
          <w:rFonts w:ascii="Gentium Book Basic" w:cs="Gentium Book Basic" w:eastAsia="Gentium Book Basic" w:hAnsi="Gentium Book Basic"/>
          <w:sz w:val="28"/>
          <w:szCs w:val="28"/>
          <w:rtl w:val="0"/>
        </w:rPr>
        <w:t xml:space="preserve">10 </w:t>
      </w:r>
      <w:r w:rsidDel="00000000" w:rsidR="00000000" w:rsidRPr="00000000">
        <w:rPr>
          <w:rFonts w:ascii="Gentium Book Basic" w:cs="Gentium Book Basic" w:eastAsia="Gentium Book Basic" w:hAnsi="Gentium Book Basic"/>
          <w:sz w:val="28"/>
          <w:szCs w:val="28"/>
          <w:rtl w:val="0"/>
        </w:rPr>
        <w:t xml:space="preserve">Then the LORD said: “You cared about the plant, which you did not work for and which you did not grow, which appeared overnight and perished overnight. </w:t>
      </w:r>
      <w:r w:rsidDel="00000000" w:rsidR="00000000" w:rsidRPr="00000000">
        <w:rPr>
          <w:rFonts w:ascii="Gentium Book Basic" w:cs="Gentium Book Basic" w:eastAsia="Gentium Book Basic" w:hAnsi="Gentium Book Basic"/>
          <w:sz w:val="28"/>
          <w:szCs w:val="28"/>
          <w:rtl w:val="0"/>
        </w:rPr>
        <w:t xml:space="preserve">11 </w:t>
      </w:r>
      <w:r w:rsidDel="00000000" w:rsidR="00000000" w:rsidRPr="00000000">
        <w:rPr>
          <w:rFonts w:ascii="Gentium Book Basic" w:cs="Gentium Book Basic" w:eastAsia="Gentium Book Basic" w:hAnsi="Gentium Book Basic"/>
          <w:sz w:val="28"/>
          <w:szCs w:val="28"/>
          <w:rtl w:val="0"/>
        </w:rPr>
        <w:t xml:space="preserve">And should not I care about Nineveh, that great city, in which there are more than a hundred and twenty thousand persons who do not yet know their right hand from their left, and many beasts as well!”</w:t>
      </w:r>
      <w:r w:rsidDel="00000000" w:rsidR="00000000" w:rsidRPr="00000000">
        <w:rPr>
          <w:rtl w:val="0"/>
        </w:rPr>
      </w:r>
    </w:p>
    <w:p w:rsidR="00000000" w:rsidDel="00000000" w:rsidP="00000000" w:rsidRDefault="00000000" w:rsidRPr="00000000">
      <w:pPr>
        <w:widowControl w:val="0"/>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6"/>
          <w:szCs w:val="26"/>
          <w:highlight w:val="white"/>
          <w:u w:val="none"/>
        </w:rPr>
      </w:pPr>
      <w:r w:rsidDel="00000000" w:rsidR="00000000" w:rsidRPr="00000000">
        <w:rPr>
          <w:rFonts w:ascii="Gentium Book Basic" w:cs="Gentium Book Basic" w:eastAsia="Gentium Book Basic" w:hAnsi="Gentium Book Basic"/>
          <w:b w:val="1"/>
          <w:sz w:val="26"/>
          <w:szCs w:val="26"/>
          <w:highlight w:val="white"/>
          <w:u w:val="single"/>
          <w:rtl w:val="0"/>
        </w:rPr>
        <w:t xml:space="preserve">Shemot Ch. 34</w:t>
      </w:r>
    </w:p>
    <w:p w:rsidR="00000000" w:rsidDel="00000000" w:rsidP="00000000" w:rsidRDefault="00000000" w:rsidRPr="00000000">
      <w:pPr>
        <w:widowControl w:val="0"/>
        <w:bidi w:val="1"/>
        <w:spacing w:line="259.20000000000005" w:lineRule="auto"/>
        <w:contextualSpacing w:val="0"/>
        <w:jc w:val="both"/>
      </w:pP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 </w:t>
      </w:r>
      <w:r w:rsidDel="00000000" w:rsidR="00000000" w:rsidRPr="00000000">
        <w:rPr>
          <w:rFonts w:ascii="Narkisim" w:cs="Narkisim" w:eastAsia="Narkisim" w:hAnsi="Narkisim"/>
          <w:sz w:val="28"/>
          <w:szCs w:val="28"/>
          <w:highlight w:val="white"/>
          <w:rtl w:val="1"/>
        </w:rPr>
        <w:t xml:space="preserve">ה</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ם</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ן</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ך</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פ</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ם</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ב</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ס</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b w:val="1"/>
          <w:sz w:val="28"/>
          <w:szCs w:val="28"/>
          <w:highlight w:val="white"/>
          <w:rtl w:val="1"/>
        </w:rPr>
        <w:t xml:space="preserve">ו</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א</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מ</w:t>
      </w:r>
      <w:r w:rsidDel="00000000" w:rsidR="00000000" w:rsidRPr="00000000">
        <w:rPr>
          <w:rFonts w:ascii="Narkisim" w:cs="Narkisim" w:eastAsia="Narkisim" w:hAnsi="Narkisim"/>
          <w:b w:val="1"/>
          <w:sz w:val="28"/>
          <w:szCs w:val="28"/>
          <w:highlight w:val="white"/>
          <w:rtl w:val="1"/>
        </w:rPr>
        <w:t xml:space="preserve">ֶֽ</w:t>
      </w:r>
      <w:r w:rsidDel="00000000" w:rsidR="00000000" w:rsidRPr="00000000">
        <w:rPr>
          <w:rFonts w:ascii="Narkisim" w:cs="Narkisim" w:eastAsia="Narkisim" w:hAnsi="Narkisim"/>
          <w:b w:val="1"/>
          <w:sz w:val="28"/>
          <w:szCs w:val="28"/>
          <w:highlight w:val="white"/>
          <w:rtl w:val="1"/>
        </w:rPr>
        <w:t xml:space="preserve">ת</w:t>
      </w:r>
      <w:r w:rsidDel="00000000" w:rsidR="00000000" w:rsidRPr="00000000">
        <w:rPr>
          <w:rtl w:val="0"/>
        </w:rPr>
      </w:r>
      <w:r w:rsidDel="00000000" w:rsidR="00000000" w:rsidRPr="00000000">
        <w:rPr>
          <w:rFonts w:ascii="Narkisim" w:cs="Narkisim" w:eastAsia="Narkisim" w:hAnsi="Narkisim"/>
          <w:sz w:val="28"/>
          <w:szCs w:val="28"/>
          <w:highlight w:val="white"/>
          <w:rtl w:val="1"/>
        </w:rPr>
        <w:t xml:space="preserve"> ׀ </w:t>
      </w:r>
      <w:r w:rsidDel="00000000" w:rsidR="00000000" w:rsidRPr="00000000">
        <w:rPr>
          <w:rFonts w:ascii="Narkisim" w:cs="Narkisim" w:eastAsia="Narkisim" w:hAnsi="Narkisim"/>
          <w:sz w:val="28"/>
          <w:szCs w:val="28"/>
          <w:highlight w:val="white"/>
          <w:rtl w:val="1"/>
        </w:rPr>
        <w:t xml:space="preserve">ז</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צ</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ר</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ס</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ד</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ל</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פ</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ים</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נ</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ן</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פ</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ש</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ע</w:t>
      </w:r>
      <w:r w:rsidDel="00000000" w:rsidR="00000000" w:rsidRPr="00000000">
        <w:rPr>
          <w:rFonts w:ascii="Narkisim" w:cs="Narkisim" w:eastAsia="Narkisim" w:hAnsi="Narkisim"/>
          <w:sz w:val="28"/>
          <w:szCs w:val="28"/>
          <w:highlight w:val="white"/>
          <w:rtl w:val="1"/>
        </w:rPr>
        <w:t xml:space="preserve"> </w:t>
      </w:r>
      <w:r w:rsidDel="00000000" w:rsidR="00000000" w:rsidRPr="00000000">
        <w:rPr>
          <w:rFonts w:ascii="Narkisim" w:cs="Narkisim" w:eastAsia="Narkisim" w:hAnsi="Narkisim"/>
          <w:sz w:val="28"/>
          <w:szCs w:val="28"/>
          <w:highlight w:val="white"/>
          <w:rtl w:val="1"/>
        </w:rPr>
        <w:t xml:space="preserve">ו</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ח</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ט</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א</w:t>
      </w:r>
      <w:r w:rsidDel="00000000" w:rsidR="00000000" w:rsidRPr="00000000">
        <w:rPr>
          <w:rFonts w:ascii="Narkisim" w:cs="Narkisim" w:eastAsia="Narkisim" w:hAnsi="Narkisim"/>
          <w:sz w:val="28"/>
          <w:szCs w:val="28"/>
          <w:highlight w:val="white"/>
          <w:rtl w:val="1"/>
        </w:rPr>
        <w:t xml:space="preserve">ָ֑</w:t>
      </w:r>
      <w:r w:rsidDel="00000000" w:rsidR="00000000" w:rsidRPr="00000000">
        <w:rPr>
          <w:rFonts w:ascii="Narkisim" w:cs="Narkisim" w:eastAsia="Narkisim" w:hAnsi="Narkisim"/>
          <w:sz w:val="28"/>
          <w:szCs w:val="28"/>
          <w:highlight w:val="white"/>
          <w:rtl w:val="1"/>
        </w:rPr>
        <w:t xml:space="preserve">ה</w:t>
      </w:r>
      <w:r w:rsidDel="00000000" w:rsidR="00000000" w:rsidRPr="00000000">
        <w:rPr>
          <w:rtl w:val="0"/>
        </w:rPr>
      </w:r>
    </w:p>
    <w:p w:rsidR="00000000" w:rsidDel="00000000" w:rsidP="00000000" w:rsidRDefault="00000000" w:rsidRPr="00000000">
      <w:pPr>
        <w:widowControl w:val="0"/>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6"/>
          <w:szCs w:val="26"/>
          <w:highlight w:val="white"/>
          <w:u w:val="none"/>
        </w:rPr>
      </w:pPr>
      <w:r w:rsidDel="00000000" w:rsidR="00000000" w:rsidRPr="00000000">
        <w:rPr>
          <w:rFonts w:ascii="Gentium Book Basic" w:cs="Gentium Book Basic" w:eastAsia="Gentium Book Basic" w:hAnsi="Gentium Book Basic"/>
          <w:b w:val="1"/>
          <w:sz w:val="26"/>
          <w:szCs w:val="26"/>
          <w:highlight w:val="white"/>
          <w:u w:val="single"/>
          <w:rtl w:val="0"/>
        </w:rPr>
        <w:t xml:space="preserve">Mechilta Shemot 12:1</w:t>
      </w:r>
    </w:p>
    <w:p w:rsidR="00000000" w:rsidDel="00000000" w:rsidP="00000000" w:rsidRDefault="00000000" w:rsidRPr="00000000">
      <w:pPr>
        <w:widowControl w:val="0"/>
        <w:spacing w:line="259.20000000000005" w:lineRule="auto"/>
        <w:contextualSpacing w:val="0"/>
        <w:jc w:val="center"/>
      </w:pPr>
      <w:r w:rsidDel="00000000" w:rsidR="00000000" w:rsidRPr="00000000">
        <w:rPr>
          <w:rFonts w:ascii="Gentium Book Basic" w:cs="Gentium Book Basic" w:eastAsia="Gentium Book Basic" w:hAnsi="Gentium Book Basic"/>
          <w:sz w:val="24"/>
          <w:szCs w:val="24"/>
          <w:rtl w:val="0"/>
        </w:rPr>
        <w:t xml:space="preserve">Now what did Jonah see that he did not wish to go to Nineveh? He said, “The gentiles are quick to repent. Should I prophesy to them and they repent, I will be found condemning Israel, who do not heed the words of the prophets.”</w:t>
      </w:r>
      <w:r w:rsidDel="00000000" w:rsidR="00000000" w:rsidRPr="00000000">
        <w:rPr>
          <w:rtl w:val="0"/>
        </w:rPr>
      </w:r>
    </w:p>
    <w:p w:rsidR="00000000" w:rsidDel="00000000" w:rsidP="00000000" w:rsidRDefault="00000000" w:rsidRPr="00000000">
      <w:pPr>
        <w:widowControl w:val="0"/>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6"/>
          <w:szCs w:val="26"/>
          <w:highlight w:val="white"/>
          <w:u w:val="none"/>
        </w:rPr>
      </w:pPr>
      <w:r w:rsidDel="00000000" w:rsidR="00000000" w:rsidRPr="00000000">
        <w:rPr>
          <w:rFonts w:ascii="Gentium Book Basic" w:cs="Gentium Book Basic" w:eastAsia="Gentium Book Basic" w:hAnsi="Gentium Book Basic"/>
          <w:b w:val="1"/>
          <w:sz w:val="26"/>
          <w:szCs w:val="26"/>
          <w:highlight w:val="white"/>
          <w:u w:val="single"/>
          <w:rtl w:val="0"/>
        </w:rPr>
        <w:t xml:space="preserve">Pirkei D’Rabbi Eliezer Ch. 10</w:t>
      </w:r>
    </w:p>
    <w:p w:rsidR="00000000" w:rsidDel="00000000" w:rsidP="00000000" w:rsidRDefault="00000000" w:rsidRPr="00000000">
      <w:pPr>
        <w:widowControl w:val="0"/>
        <w:spacing w:line="259.20000000000005" w:lineRule="auto"/>
        <w:contextualSpacing w:val="0"/>
        <w:jc w:val="center"/>
      </w:pPr>
      <w:r w:rsidDel="00000000" w:rsidR="00000000" w:rsidRPr="00000000">
        <w:rPr>
          <w:rFonts w:ascii="Gentium Book Basic" w:cs="Gentium Book Basic" w:eastAsia="Gentium Book Basic" w:hAnsi="Gentium Book Basic"/>
          <w:b w:val="1"/>
          <w:sz w:val="24"/>
          <w:szCs w:val="24"/>
          <w:highlight w:val="white"/>
          <w:rtl w:val="0"/>
        </w:rPr>
        <w:t xml:space="preserve">Now it displeased Jonah: </w:t>
      </w:r>
      <w:r w:rsidDel="00000000" w:rsidR="00000000" w:rsidRPr="00000000">
        <w:rPr>
          <w:rFonts w:ascii="Gentium Book Basic" w:cs="Gentium Book Basic" w:eastAsia="Gentium Book Basic" w:hAnsi="Gentium Book Basic"/>
          <w:sz w:val="24"/>
          <w:szCs w:val="24"/>
          <w:highlight w:val="white"/>
          <w:rtl w:val="0"/>
        </w:rPr>
        <w:t xml:space="preserve">He said, “Now the nations will say that I am a false prophet.” </w:t>
      </w:r>
      <w:r w:rsidDel="00000000" w:rsidR="00000000" w:rsidRPr="00000000">
        <w:rPr>
          <w:rtl w:val="0"/>
        </w:rPr>
      </w:r>
    </w:p>
    <w:p w:rsidR="00000000" w:rsidDel="00000000" w:rsidP="00000000" w:rsidRDefault="00000000" w:rsidRPr="00000000">
      <w:pPr>
        <w:widowControl w:val="0"/>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6"/>
          <w:szCs w:val="26"/>
          <w:highlight w:val="white"/>
          <w:u w:val="none"/>
        </w:rPr>
      </w:pPr>
      <w:r w:rsidDel="00000000" w:rsidR="00000000" w:rsidRPr="00000000">
        <w:rPr>
          <w:rFonts w:ascii="Gentium Book Basic" w:cs="Gentium Book Basic" w:eastAsia="Gentium Book Basic" w:hAnsi="Gentium Book Basic"/>
          <w:b w:val="1"/>
          <w:sz w:val="26"/>
          <w:szCs w:val="26"/>
          <w:highlight w:val="white"/>
          <w:u w:val="single"/>
          <w:rtl w:val="0"/>
        </w:rPr>
        <w:t xml:space="preserve">Talmud Bavli, Shabbat 55a</w:t>
      </w:r>
    </w:p>
    <w:p w:rsidR="00000000" w:rsidDel="00000000" w:rsidP="00000000" w:rsidRDefault="00000000" w:rsidRPr="00000000">
      <w:pPr>
        <w:widowControl w:val="0"/>
        <w:spacing w:line="259.20000000000005" w:lineRule="auto"/>
        <w:contextualSpacing w:val="0"/>
        <w:jc w:val="center"/>
      </w:pPr>
      <w:r w:rsidDel="00000000" w:rsidR="00000000" w:rsidRPr="00000000">
        <w:rPr>
          <w:rFonts w:ascii="Gentium Book Basic" w:cs="Gentium Book Basic" w:eastAsia="Gentium Book Basic" w:hAnsi="Gentium Book Basic"/>
          <w:sz w:val="26"/>
          <w:szCs w:val="26"/>
          <w:highlight w:val="white"/>
          <w:rtl w:val="0"/>
        </w:rPr>
        <w:t xml:space="preserve">The seal of HaKadosh Baruch Hu is truth-</w:t>
      </w:r>
      <w:r w:rsidDel="00000000" w:rsidR="00000000" w:rsidRPr="00000000">
        <w:rPr>
          <w:rFonts w:ascii="Gentium Book Basic" w:cs="Gentium Book Basic" w:eastAsia="Gentium Book Basic" w:hAnsi="Gentium Book Basic"/>
          <w:i w:val="1"/>
          <w:sz w:val="26"/>
          <w:szCs w:val="26"/>
          <w:highlight w:val="white"/>
          <w:rtl w:val="0"/>
        </w:rPr>
        <w:t xml:space="preserve">emet</w:t>
      </w:r>
      <w:r w:rsidDel="00000000" w:rsidR="00000000" w:rsidRPr="00000000">
        <w:rPr>
          <w:rFonts w:ascii="Gentium Book Basic" w:cs="Gentium Book Basic" w:eastAsia="Gentium Book Basic" w:hAnsi="Gentium Book Basic"/>
          <w:sz w:val="26"/>
          <w:szCs w:val="26"/>
          <w:highlight w:val="white"/>
          <w:rtl w:val="0"/>
        </w:rPr>
        <w:t xml:space="preserve">. </w:t>
      </w:r>
    </w:p>
    <w:p w:rsidR="00000000" w:rsidDel="00000000" w:rsidP="00000000" w:rsidRDefault="00000000" w:rsidRPr="00000000">
      <w:pPr>
        <w:widowControl w:val="0"/>
        <w:numPr>
          <w:ilvl w:val="0"/>
          <w:numId w:val="1"/>
        </w:numPr>
        <w:spacing w:line="259.20000000000005" w:lineRule="auto"/>
        <w:ind w:left="720" w:hanging="360"/>
        <w:contextualSpacing w:val="1"/>
        <w:jc w:val="center"/>
        <w:rPr>
          <w:rFonts w:ascii="Gentium Book Basic" w:cs="Gentium Book Basic" w:eastAsia="Gentium Book Basic" w:hAnsi="Gentium Book Basic"/>
          <w:b w:val="1"/>
          <w:i w:val="1"/>
          <w:sz w:val="26"/>
          <w:szCs w:val="26"/>
          <w:highlight w:val="white"/>
        </w:rPr>
      </w:pPr>
      <w:r w:rsidDel="00000000" w:rsidR="00000000" w:rsidRPr="00000000">
        <w:rPr>
          <w:rFonts w:ascii="Gentium Book Basic" w:cs="Gentium Book Basic" w:eastAsia="Gentium Book Basic" w:hAnsi="Gentium Book Basic"/>
          <w:b w:val="1"/>
          <w:i w:val="1"/>
          <w:sz w:val="26"/>
          <w:szCs w:val="26"/>
          <w:highlight w:val="white"/>
          <w:u w:val="single"/>
          <w:rtl w:val="0"/>
        </w:rPr>
        <w:t xml:space="preserve">A Shabbos Vort</w:t>
      </w:r>
      <w:r w:rsidDel="00000000" w:rsidR="00000000" w:rsidRPr="00000000">
        <w:rPr>
          <w:rFonts w:ascii="Gentium Book Basic" w:cs="Gentium Book Basic" w:eastAsia="Gentium Book Basic" w:hAnsi="Gentium Book Basic"/>
          <w:b w:val="1"/>
          <w:sz w:val="26"/>
          <w:szCs w:val="26"/>
          <w:highlight w:val="white"/>
          <w:u w:val="single"/>
          <w:rtl w:val="0"/>
        </w:rPr>
        <w:t xml:space="preserve">, p. 11</w:t>
      </w:r>
    </w:p>
    <w:p w:rsidR="00000000" w:rsidDel="00000000" w:rsidP="00000000" w:rsidRDefault="00000000" w:rsidRPr="00000000">
      <w:pPr>
        <w:widowControl w:val="0"/>
        <w:spacing w:line="259.20000000000005" w:lineRule="auto"/>
        <w:contextualSpacing w:val="0"/>
        <w:jc w:val="center"/>
      </w:pPr>
      <w:r w:rsidDel="00000000" w:rsidR="00000000" w:rsidRPr="00000000">
        <w:drawing>
          <wp:inline distB="114300" distT="114300" distL="114300" distR="114300">
            <wp:extent cx="4649788" cy="2576353"/>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4649788" cy="257635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6"/>
          <w:szCs w:val="26"/>
          <w:highlight w:val="white"/>
          <w:u w:val="none"/>
        </w:rPr>
      </w:pPr>
      <w:r w:rsidDel="00000000" w:rsidR="00000000" w:rsidRPr="00000000">
        <w:rPr>
          <w:rFonts w:ascii="Gentium Book Basic" w:cs="Gentium Book Basic" w:eastAsia="Gentium Book Basic" w:hAnsi="Gentium Book Basic"/>
          <w:b w:val="1"/>
          <w:sz w:val="26"/>
          <w:szCs w:val="26"/>
          <w:highlight w:val="white"/>
          <w:u w:val="single"/>
          <w:rtl w:val="0"/>
        </w:rPr>
        <w:t xml:space="preserve">Midrash Rabbah 8:5</w:t>
      </w:r>
    </w:p>
    <w:p w:rsidR="00000000" w:rsidDel="00000000" w:rsidP="00000000" w:rsidRDefault="00000000" w:rsidRPr="00000000">
      <w:pPr>
        <w:widowControl w:val="0"/>
        <w:spacing w:line="259.20000000000005" w:lineRule="auto"/>
        <w:contextualSpacing w:val="0"/>
        <w:jc w:val="center"/>
      </w:pPr>
      <w:r w:rsidDel="00000000" w:rsidR="00000000" w:rsidRPr="00000000">
        <w:rPr>
          <w:rFonts w:ascii="Gentium Book Basic" w:cs="Gentium Book Basic" w:eastAsia="Gentium Book Basic" w:hAnsi="Gentium Book Basic"/>
          <w:sz w:val="24"/>
          <w:szCs w:val="24"/>
          <w:highlight w:val="white"/>
          <w:rtl w:val="0"/>
        </w:rPr>
        <w:t xml:space="preserve">Rabbi Simon said, “When the Holy One, blessed be He, came to create Adam, the ministering angels formed themselves into groups and parties, some of them saying, ‘Let him be created,’ whilst others urged, ‘let him not be created.’ Thus it is written, Love and Truth fought together, Righteousness and Peace combated each other (Ps. 85:11). Love said, ‘Let him be created, because he will dispense acts of love;’ Truth said, ‘Let him not be created, because he is compounded of falsehood;’ Righteousness said, ‘Let him be created, because he will perform righteous deeds;’ Peace said, ‘Let him not be created, because he is full of strife.’ What did the Holy One do? He took Truth and cast it to the ground.”</w:t>
      </w:r>
    </w:p>
    <w:p w:rsidR="00000000" w:rsidDel="00000000" w:rsidP="00000000" w:rsidRDefault="00000000" w:rsidRPr="00000000">
      <w:pPr>
        <w:widowControl w:val="0"/>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6"/>
          <w:szCs w:val="26"/>
          <w:highlight w:val="white"/>
          <w:u w:val="none"/>
        </w:rPr>
      </w:pPr>
      <w:r w:rsidDel="00000000" w:rsidR="00000000" w:rsidRPr="00000000">
        <w:rPr>
          <w:rFonts w:ascii="Gentium Book Basic" w:cs="Gentium Book Basic" w:eastAsia="Gentium Book Basic" w:hAnsi="Gentium Book Basic"/>
          <w:b w:val="1"/>
          <w:sz w:val="26"/>
          <w:szCs w:val="26"/>
          <w:highlight w:val="white"/>
          <w:u w:val="single"/>
          <w:rtl w:val="0"/>
        </w:rPr>
        <w:t xml:space="preserve">Talmud Bavli, Bava Metzia 59b</w:t>
      </w:r>
    </w:p>
    <w:p w:rsidR="00000000" w:rsidDel="00000000" w:rsidP="00000000" w:rsidRDefault="00000000" w:rsidRPr="00000000">
      <w:pPr>
        <w:widowControl w:val="0"/>
        <w:spacing w:line="259.20000000000005" w:lineRule="auto"/>
        <w:contextualSpacing w:val="0"/>
        <w:jc w:val="center"/>
      </w:pPr>
      <w:r w:rsidDel="00000000" w:rsidR="00000000" w:rsidRPr="00000000">
        <w:rPr>
          <w:rFonts w:ascii="Gentium Book Basic" w:cs="Gentium Book Basic" w:eastAsia="Gentium Book Basic" w:hAnsi="Gentium Book Basic"/>
          <w:sz w:val="24"/>
          <w:szCs w:val="24"/>
          <w:highlight w:val="white"/>
          <w:rtl w:val="0"/>
        </w:rPr>
        <w:t xml:space="preserve">It has been taught: On that day R. Eliezer brought forward every imaginable argument, but they (the other sages) did not accept them. Again he said to them: 'If the halachah agrees with me, let it be proved from Heaven!' Whereupon a Heavenly Voice cried out: 'Why do you dispute with R. Eliezer, seeing that in all matters the halachah agrees with him!' But R. Yehoshua arose and exclaimed: 'It is not in heaven.' What did he mean by this? - Said R. Yirmiyah: Since the Torah has already been given at Mount Sinai, we pay no attention to a Heavenly Voice, because long ago You wrote in the Torah at Mount Sinai, (Shmot 23), "After the majority must one incline."</w:t>
      </w:r>
      <w:r w:rsidDel="00000000" w:rsidR="00000000" w:rsidRPr="00000000">
        <w:rPr>
          <w:rtl w:val="0"/>
        </w:rPr>
      </w:r>
    </w:p>
    <w:p w:rsidR="00000000" w:rsidDel="00000000" w:rsidP="00000000" w:rsidRDefault="00000000" w:rsidRPr="00000000">
      <w:pPr>
        <w:widowControl w:val="0"/>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4"/>
          <w:szCs w:val="24"/>
          <w:highlight w:val="white"/>
        </w:rPr>
      </w:pPr>
      <w:r w:rsidDel="00000000" w:rsidR="00000000" w:rsidRPr="00000000">
        <w:rPr>
          <w:rFonts w:ascii="Gentium Book Basic" w:cs="Gentium Book Basic" w:eastAsia="Gentium Book Basic" w:hAnsi="Gentium Book Basic"/>
          <w:b w:val="1"/>
          <w:sz w:val="24"/>
          <w:szCs w:val="24"/>
          <w:highlight w:val="white"/>
          <w:u w:val="single"/>
          <w:rtl w:val="0"/>
        </w:rPr>
        <w:t xml:space="preserve">Iggerot Moshe (R. Moshe Feinstein, USA, 1895-1996), Introduction</w:t>
      </w:r>
    </w:p>
    <w:p w:rsidR="00000000" w:rsidDel="00000000" w:rsidP="00000000" w:rsidRDefault="00000000" w:rsidRPr="00000000">
      <w:pPr>
        <w:widowControl w:val="0"/>
        <w:spacing w:line="259.20000000000005" w:lineRule="auto"/>
        <w:contextualSpacing w:val="0"/>
        <w:jc w:val="center"/>
      </w:pPr>
      <w:r w:rsidDel="00000000" w:rsidR="00000000" w:rsidRPr="00000000">
        <w:drawing>
          <wp:inline distB="114300" distT="114300" distL="114300" distR="114300">
            <wp:extent cx="5943600" cy="1323975"/>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5943600" cy="132397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4"/>
          <w:szCs w:val="24"/>
          <w:highlight w:val="white"/>
        </w:rPr>
      </w:pPr>
      <w:r w:rsidDel="00000000" w:rsidR="00000000" w:rsidRPr="00000000">
        <w:rPr>
          <w:rFonts w:ascii="Gentium Book Basic" w:cs="Gentium Book Basic" w:eastAsia="Gentium Book Basic" w:hAnsi="Gentium Book Basic"/>
          <w:b w:val="1"/>
          <w:sz w:val="24"/>
          <w:szCs w:val="24"/>
          <w:highlight w:val="white"/>
          <w:rtl w:val="0"/>
        </w:rPr>
        <w:t xml:space="preserve"> </w:t>
      </w:r>
      <w:r w:rsidDel="00000000" w:rsidR="00000000" w:rsidRPr="00000000">
        <w:rPr>
          <w:rFonts w:ascii="Gentium Book Basic" w:cs="Gentium Book Basic" w:eastAsia="Gentium Book Basic" w:hAnsi="Gentium Book Basic"/>
          <w:b w:val="1"/>
          <w:sz w:val="24"/>
          <w:szCs w:val="24"/>
          <w:highlight w:val="white"/>
          <w:u w:val="single"/>
          <w:rtl w:val="0"/>
        </w:rPr>
        <w:t xml:space="preserve">Talmud Yerushalmi, Makkot 2:6 (7a)</w:t>
      </w:r>
    </w:p>
    <w:p w:rsidR="00000000" w:rsidDel="00000000" w:rsidP="00000000" w:rsidRDefault="00000000" w:rsidRPr="00000000">
      <w:pPr>
        <w:widowControl w:val="0"/>
        <w:spacing w:line="259.20000000000005" w:lineRule="auto"/>
        <w:contextualSpacing w:val="0"/>
        <w:jc w:val="center"/>
      </w:pPr>
      <w:r w:rsidDel="00000000" w:rsidR="00000000" w:rsidRPr="00000000">
        <w:rPr>
          <w:rFonts w:ascii="Gentium Book Basic" w:cs="Gentium Book Basic" w:eastAsia="Gentium Book Basic" w:hAnsi="Gentium Book Basic"/>
          <w:sz w:val="24"/>
          <w:szCs w:val="24"/>
          <w:highlight w:val="white"/>
          <w:rtl w:val="0"/>
        </w:rPr>
        <w:t xml:space="preserve">Wisdom was asked, “What is the sinner’s punishment?” Wisdom answered, “Evil pursues sinners” (Mishlei 13:21). Prophecy was asked, “What is the sinner’s punishment?” Prophecy answered, quoting , “The soul that sins–it shall die” (Yechezkel 18:4). The Torah was asked, “What is the sinner’s punishment?” The Torah answered, “Let him bring a guilt offering and receive atonement.” God was asked, “What is the sinner’s punishment?” God replied, “Let him repent and receive atonement.” Thus it is written , “Hashem is good and upright; therefore, He guides sinners on the way,” (Tehilim 25:8) i.e., He guides sinners to repent.</w:t>
      </w:r>
      <w:r w:rsidDel="00000000" w:rsidR="00000000" w:rsidRPr="00000000">
        <w:rPr>
          <w:rtl w:val="0"/>
        </w:rPr>
      </w:r>
    </w:p>
    <w:p w:rsidR="00000000" w:rsidDel="00000000" w:rsidP="00000000" w:rsidRDefault="00000000" w:rsidRPr="00000000">
      <w:pPr>
        <w:widowControl w:val="0"/>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4"/>
          <w:szCs w:val="24"/>
          <w:highlight w:val="white"/>
        </w:rPr>
      </w:pPr>
      <w:r w:rsidDel="00000000" w:rsidR="00000000" w:rsidRPr="00000000">
        <w:rPr>
          <w:rFonts w:ascii="Gentium Book Basic" w:cs="Gentium Book Basic" w:eastAsia="Gentium Book Basic" w:hAnsi="Gentium Book Basic"/>
          <w:b w:val="1"/>
          <w:sz w:val="24"/>
          <w:szCs w:val="24"/>
          <w:highlight w:val="white"/>
          <w:rtl w:val="0"/>
        </w:rPr>
        <w:t xml:space="preserve"> </w:t>
      </w:r>
      <w:r w:rsidDel="00000000" w:rsidR="00000000" w:rsidRPr="00000000">
        <w:rPr>
          <w:rFonts w:ascii="Gentium Book Basic" w:cs="Gentium Book Basic" w:eastAsia="Gentium Book Basic" w:hAnsi="Gentium Book Basic"/>
          <w:b w:val="1"/>
          <w:sz w:val="24"/>
          <w:szCs w:val="24"/>
          <w:highlight w:val="white"/>
          <w:u w:val="single"/>
          <w:rtl w:val="0"/>
        </w:rPr>
        <w:t xml:space="preserve">Gedola Teshuva (R. Baruch Taub, Toronto-Israel), p. 46</w:t>
      </w:r>
    </w:p>
    <w:p w:rsidR="00000000" w:rsidDel="00000000" w:rsidP="00000000" w:rsidRDefault="00000000" w:rsidRPr="00000000">
      <w:pPr>
        <w:widowControl w:val="0"/>
        <w:spacing w:line="259.20000000000005" w:lineRule="auto"/>
        <w:contextualSpacing w:val="0"/>
        <w:jc w:val="center"/>
      </w:pPr>
      <w:r w:rsidDel="00000000" w:rsidR="00000000" w:rsidRPr="00000000">
        <w:rPr>
          <w:rFonts w:ascii="Gentium Book Basic" w:cs="Gentium Book Basic" w:eastAsia="Gentium Book Basic" w:hAnsi="Gentium Book Basic"/>
          <w:sz w:val="24"/>
          <w:szCs w:val="24"/>
          <w:highlight w:val="white"/>
          <w:rtl w:val="0"/>
        </w:rPr>
        <w:t xml:space="preserve">Hinted</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in</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Yonah</w:t>
      </w:r>
      <w:r w:rsidDel="00000000" w:rsidR="00000000" w:rsidRPr="00000000">
        <w:rPr>
          <w:rFonts w:ascii="Gentium Book Basic" w:cs="Gentium Book Basic" w:eastAsia="Gentium Book Basic" w:hAnsi="Gentium Book Basic"/>
          <w:sz w:val="24"/>
          <w:szCs w:val="24"/>
          <w:highlight w:val="white"/>
          <w:rtl w:val="0"/>
        </w:rPr>
        <w:t xml:space="preserve">’</w:t>
      </w:r>
      <w:r w:rsidDel="00000000" w:rsidR="00000000" w:rsidRPr="00000000">
        <w:rPr>
          <w:rFonts w:ascii="Gentium Book Basic" w:cs="Gentium Book Basic" w:eastAsia="Gentium Book Basic" w:hAnsi="Gentium Book Basic"/>
          <w:sz w:val="24"/>
          <w:szCs w:val="24"/>
          <w:highlight w:val="white"/>
          <w:rtl w:val="0"/>
        </w:rPr>
        <w:t xml:space="preserve">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name</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is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the</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idea</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of</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his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insistence</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on</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the</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path</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of</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truth</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In</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his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name</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are</w:t>
      </w:r>
      <w:r w:rsidDel="00000000" w:rsidR="00000000" w:rsidRPr="00000000">
        <w:rPr>
          <w:rFonts w:ascii="Gentium Book Basic" w:cs="Gentium Book Basic" w:eastAsia="Gentium Book Basic" w:hAnsi="Gentium Book Basic"/>
          <w:sz w:val="24"/>
          <w:szCs w:val="24"/>
          <w:highlight w:val="white"/>
          <w:rtl w:val="0"/>
        </w:rPr>
        <w:t xml:space="preserve"> 3 </w:t>
      </w:r>
      <w:r w:rsidDel="00000000" w:rsidR="00000000" w:rsidRPr="00000000">
        <w:rPr>
          <w:rFonts w:ascii="Gentium Book Basic" w:cs="Gentium Book Basic" w:eastAsia="Gentium Book Basic" w:hAnsi="Gentium Book Basic"/>
          <w:sz w:val="24"/>
          <w:szCs w:val="24"/>
          <w:highlight w:val="white"/>
          <w:rtl w:val="0"/>
        </w:rPr>
        <w:t xml:space="preserve">of</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the</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letters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in</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God</w:t>
      </w:r>
      <w:r w:rsidDel="00000000" w:rsidR="00000000" w:rsidRPr="00000000">
        <w:rPr>
          <w:rFonts w:ascii="Gentium Book Basic" w:cs="Gentium Book Basic" w:eastAsia="Gentium Book Basic" w:hAnsi="Gentium Book Basic"/>
          <w:sz w:val="24"/>
          <w:szCs w:val="24"/>
          <w:highlight w:val="white"/>
          <w:rtl w:val="0"/>
        </w:rPr>
        <w:t xml:space="preserve">’</w:t>
      </w:r>
      <w:r w:rsidDel="00000000" w:rsidR="00000000" w:rsidRPr="00000000">
        <w:rPr>
          <w:rFonts w:ascii="Gentium Book Basic" w:cs="Gentium Book Basic" w:eastAsia="Gentium Book Basic" w:hAnsi="Gentium Book Basic"/>
          <w:sz w:val="24"/>
          <w:szCs w:val="24"/>
          <w:highlight w:val="white"/>
          <w:rtl w:val="0"/>
        </w:rPr>
        <w:t xml:space="preserve">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name</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Arial" w:cs="Arial" w:eastAsia="Arial" w:hAnsi="Arial"/>
          <w:sz w:val="24"/>
          <w:szCs w:val="24"/>
          <w:highlight w:val="white"/>
          <w:rtl w:val="1"/>
        </w:rPr>
        <w:t xml:space="preserve">י</w:t>
      </w:r>
      <w:r w:rsidDel="00000000" w:rsidR="00000000" w:rsidRPr="00000000">
        <w:rPr>
          <w:rFonts w:ascii="Gentium Book Basic" w:cs="Gentium Book Basic" w:eastAsia="Gentium Book Basic" w:hAnsi="Gentium Book Basic"/>
          <w:sz w:val="24"/>
          <w:szCs w:val="24"/>
          <w:highlight w:val="white"/>
          <w:rtl w:val="1"/>
        </w:rPr>
        <w:t xml:space="preserve">, </w:t>
      </w:r>
      <w:r w:rsidDel="00000000" w:rsidR="00000000" w:rsidRPr="00000000">
        <w:rPr>
          <w:rFonts w:ascii="Arial" w:cs="Arial" w:eastAsia="Arial" w:hAnsi="Arial"/>
          <w:sz w:val="24"/>
          <w:szCs w:val="24"/>
          <w:highlight w:val="white"/>
          <w:rtl w:val="1"/>
        </w:rPr>
        <w:t xml:space="preserve">ו</w:t>
      </w:r>
      <w:r w:rsidDel="00000000" w:rsidR="00000000" w:rsidRPr="00000000">
        <w:rPr>
          <w:rFonts w:ascii="Gentium Book Basic" w:cs="Gentium Book Basic" w:eastAsia="Gentium Book Basic" w:hAnsi="Gentium Book Basic"/>
          <w:sz w:val="24"/>
          <w:szCs w:val="24"/>
          <w:highlight w:val="white"/>
          <w:rtl w:val="1"/>
        </w:rPr>
        <w:t xml:space="preserve">, </w:t>
      </w:r>
      <w:r w:rsidDel="00000000" w:rsidR="00000000" w:rsidRPr="00000000">
        <w:rPr>
          <w:rFonts w:ascii="Arial" w:cs="Arial" w:eastAsia="Arial" w:hAnsi="Arial"/>
          <w:sz w:val="24"/>
          <w:szCs w:val="24"/>
          <w:highlight w:val="white"/>
          <w:rtl w:val="1"/>
        </w:rPr>
        <w:t xml:space="preserve">ה</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and</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Arial" w:cs="Arial" w:eastAsia="Arial" w:hAnsi="Arial"/>
          <w:sz w:val="24"/>
          <w:szCs w:val="24"/>
          <w:highlight w:val="white"/>
          <w:rtl w:val="1"/>
        </w:rPr>
        <w:t xml:space="preserve">נו</w:t>
      </w:r>
      <w:r w:rsidDel="00000000" w:rsidR="00000000" w:rsidRPr="00000000">
        <w:rPr>
          <w:rFonts w:ascii="Gentium Book Basic" w:cs="Gentium Book Basic" w:eastAsia="Gentium Book Basic" w:hAnsi="Gentium Book Basic"/>
          <w:sz w:val="24"/>
          <w:szCs w:val="24"/>
          <w:highlight w:val="white"/>
          <w:rtl w:val="1"/>
        </w:rPr>
        <w:t xml:space="preserve">”</w:t>
      </w:r>
      <w:r w:rsidDel="00000000" w:rsidR="00000000" w:rsidRPr="00000000">
        <w:rPr>
          <w:rFonts w:ascii="Arial" w:cs="Arial" w:eastAsia="Arial" w:hAnsi="Arial"/>
          <w:sz w:val="24"/>
          <w:szCs w:val="24"/>
          <w:highlight w:val="white"/>
          <w:rtl w:val="1"/>
        </w:rPr>
        <w:t xml:space="preserve">ן</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always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represents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completion</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He</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is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also</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called</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Arial" w:cs="Arial" w:eastAsia="Arial" w:hAnsi="Arial"/>
          <w:sz w:val="24"/>
          <w:szCs w:val="24"/>
          <w:highlight w:val="white"/>
          <w:rtl w:val="1"/>
        </w:rPr>
        <w:t xml:space="preserve">בן</w:t>
      </w:r>
      <w:r w:rsidDel="00000000" w:rsidR="00000000" w:rsidRPr="00000000">
        <w:rPr>
          <w:rFonts w:ascii="Gentium Book Basic" w:cs="Gentium Book Basic" w:eastAsia="Gentium Book Basic" w:hAnsi="Gentium Book Basic"/>
          <w:sz w:val="24"/>
          <w:szCs w:val="24"/>
          <w:highlight w:val="white"/>
          <w:rtl w:val="1"/>
        </w:rPr>
        <w:t xml:space="preserve"> </w:t>
      </w:r>
      <w:r w:rsidDel="00000000" w:rsidR="00000000" w:rsidRPr="00000000">
        <w:rPr>
          <w:rFonts w:ascii="Arial" w:cs="Arial" w:eastAsia="Arial" w:hAnsi="Arial"/>
          <w:sz w:val="24"/>
          <w:szCs w:val="24"/>
          <w:highlight w:val="white"/>
          <w:rtl w:val="1"/>
        </w:rPr>
        <w:t xml:space="preserve">אמיתי</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not</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because</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this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was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his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father</w:t>
      </w:r>
      <w:r w:rsidDel="00000000" w:rsidR="00000000" w:rsidRPr="00000000">
        <w:rPr>
          <w:rFonts w:ascii="Gentium Book Basic" w:cs="Gentium Book Basic" w:eastAsia="Gentium Book Basic" w:hAnsi="Gentium Book Basic"/>
          <w:sz w:val="24"/>
          <w:szCs w:val="24"/>
          <w:highlight w:val="white"/>
          <w:rtl w:val="0"/>
        </w:rPr>
        <w:t xml:space="preserve">’</w:t>
      </w:r>
      <w:r w:rsidDel="00000000" w:rsidR="00000000" w:rsidRPr="00000000">
        <w:rPr>
          <w:rFonts w:ascii="Gentium Book Basic" w:cs="Gentium Book Basic" w:eastAsia="Gentium Book Basic" w:hAnsi="Gentium Book Basic"/>
          <w:sz w:val="24"/>
          <w:szCs w:val="24"/>
          <w:highlight w:val="white"/>
          <w:rtl w:val="0"/>
        </w:rPr>
        <w:t xml:space="preserve">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name</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but</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rather</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because</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his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Arial" w:cs="Arial" w:eastAsia="Arial" w:hAnsi="Arial"/>
          <w:sz w:val="24"/>
          <w:szCs w:val="24"/>
          <w:highlight w:val="white"/>
          <w:rtl w:val="1"/>
        </w:rPr>
        <w:t xml:space="preserve">מידה</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was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the</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Arial" w:cs="Arial" w:eastAsia="Arial" w:hAnsi="Arial"/>
          <w:sz w:val="24"/>
          <w:szCs w:val="24"/>
          <w:highlight w:val="white"/>
          <w:rtl w:val="1"/>
        </w:rPr>
        <w:t xml:space="preserve">מידה</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of</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truth</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and</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this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was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his</w:t>
      </w:r>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essence</w:t>
      </w:r>
      <w:r w:rsidDel="00000000" w:rsidR="00000000" w:rsidRPr="00000000">
        <w:rPr>
          <w:rFonts w:ascii="Gentium Book Basic" w:cs="Gentium Book Basic" w:eastAsia="Gentium Book Basic" w:hAnsi="Gentium Book Basic"/>
          <w:sz w:val="24"/>
          <w:szCs w:val="24"/>
          <w:highlight w:val="white"/>
          <w:rtl w:val="0"/>
        </w:rPr>
        <w:t xml:space="preserve">. </w:t>
      </w:r>
    </w:p>
    <w:p w:rsidR="00000000" w:rsidDel="00000000" w:rsidP="00000000" w:rsidRDefault="00000000" w:rsidRPr="00000000">
      <w:pPr>
        <w:widowControl w:val="0"/>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4"/>
          <w:szCs w:val="24"/>
          <w:highlight w:val="white"/>
        </w:rPr>
      </w:pPr>
      <w:r w:rsidDel="00000000" w:rsidR="00000000" w:rsidRPr="00000000">
        <w:rPr>
          <w:rFonts w:ascii="Gentium Book Basic" w:cs="Gentium Book Basic" w:eastAsia="Gentium Book Basic" w:hAnsi="Gentium Book Basic"/>
          <w:b w:val="1"/>
          <w:sz w:val="24"/>
          <w:szCs w:val="24"/>
          <w:highlight w:val="white"/>
          <w:u w:val="single"/>
          <w:rtl w:val="0"/>
        </w:rPr>
        <w:t xml:space="preserve">Midrash Tehillim 26:7; Pirkei D’Rabbi Eliezer Ch. 32</w:t>
      </w:r>
    </w:p>
    <w:p w:rsidR="00000000" w:rsidDel="00000000" w:rsidP="00000000" w:rsidRDefault="00000000" w:rsidRPr="00000000">
      <w:pPr>
        <w:widowControl w:val="0"/>
        <w:bidi w:val="1"/>
        <w:spacing w:line="259.20000000000005" w:lineRule="auto"/>
        <w:contextualSpacing w:val="0"/>
        <w:jc w:val="center"/>
      </w:pPr>
      <w:r w:rsidDel="00000000" w:rsidR="00000000" w:rsidRPr="00000000">
        <w:rPr>
          <w:rFonts w:ascii="Narkisim" w:cs="Narkisim" w:eastAsia="Narkisim" w:hAnsi="Narkisim"/>
          <w:sz w:val="24"/>
          <w:szCs w:val="24"/>
          <w:highlight w:val="white"/>
          <w:rtl w:val="1"/>
        </w:rPr>
        <w:t xml:space="preserve">אבל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צרפת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האלמנה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הוא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יונה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אמתי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היה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צדיק</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גמור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נצרף</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בבליעת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דגים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ובמצולות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ימים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ולא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אלא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ויאמר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לדג</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ויקא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יונה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היבשה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יונה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ונכנס</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בחייו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בכבודו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לגן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עדן</w:t>
      </w:r>
      <w:r w:rsidDel="00000000" w:rsidR="00000000" w:rsidRPr="00000000">
        <w:rPr>
          <w:rFonts w:ascii="Narkisim" w:cs="Narkisim" w:eastAsia="Narkisim" w:hAnsi="Narkisim"/>
          <w:sz w:val="24"/>
          <w:szCs w:val="24"/>
          <w:highlight w:val="white"/>
          <w:rtl w:val="1"/>
        </w:rPr>
        <w:t xml:space="preserve">.</w:t>
      </w:r>
    </w:p>
    <w:p w:rsidR="00000000" w:rsidDel="00000000" w:rsidP="00000000" w:rsidRDefault="00000000" w:rsidRPr="00000000">
      <w:pPr>
        <w:widowControl w:val="0"/>
        <w:bidi w:val="1"/>
        <w:spacing w:line="259.20000000000005" w:lineRule="auto"/>
        <w:contextualSpacing w:val="0"/>
        <w:jc w:val="center"/>
      </w:pPr>
      <w:r w:rsidDel="00000000" w:rsidR="00000000" w:rsidRPr="00000000">
        <w:rPr>
          <w:rFonts w:ascii="Narkisim" w:cs="Narkisim" w:eastAsia="Narkisim" w:hAnsi="Narkisim"/>
          <w:sz w:val="24"/>
          <w:szCs w:val="24"/>
          <w:highlight w:val="white"/>
          <w:rtl w:val="0"/>
        </w:rPr>
        <w:t xml:space="preserve">...</w:t>
      </w:r>
    </w:p>
    <w:p w:rsidR="00000000" w:rsidDel="00000000" w:rsidP="00000000" w:rsidRDefault="00000000" w:rsidRPr="00000000">
      <w:pPr>
        <w:widowControl w:val="0"/>
        <w:bidi w:val="1"/>
        <w:spacing w:line="259.20000000000005" w:lineRule="auto"/>
        <w:contextualSpacing w:val="0"/>
        <w:jc w:val="center"/>
      </w:pPr>
      <w:r w:rsidDel="00000000" w:rsidR="00000000" w:rsidRPr="00000000">
        <w:rPr>
          <w:rFonts w:ascii="Narkisim" w:cs="Narkisim" w:eastAsia="Narkisim" w:hAnsi="Narkisim"/>
          <w:sz w:val="24"/>
          <w:szCs w:val="24"/>
          <w:highlight w:val="white"/>
          <w:rtl w:val="1"/>
        </w:rPr>
        <w:t xml:space="preserve">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שמעון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אומ</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מכח</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צדקות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המתים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עתידים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להחיות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מניין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אנו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למדין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מאליהו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התשבי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שהלך</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לצאת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וקבלתו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אשה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אלמנה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בכבוד</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גדול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אמו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יונה</w:t>
      </w:r>
      <w:r w:rsidDel="00000000" w:rsidR="00000000" w:rsidRPr="00000000">
        <w:rPr>
          <w:rtl w:val="0"/>
        </w:rPr>
      </w:r>
    </w:p>
    <w:p w:rsidR="00000000" w:rsidDel="00000000" w:rsidP="00000000" w:rsidRDefault="00000000" w:rsidRPr="00000000">
      <w:pPr>
        <w:widowControl w:val="0"/>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4"/>
          <w:szCs w:val="24"/>
          <w:highlight w:val="white"/>
        </w:rPr>
      </w:pPr>
      <w:r w:rsidDel="00000000" w:rsidR="00000000" w:rsidRPr="00000000">
        <w:rPr>
          <w:rFonts w:ascii="Gentium Book Basic" w:cs="Gentium Book Basic" w:eastAsia="Gentium Book Basic" w:hAnsi="Gentium Book Basic"/>
          <w:b w:val="1"/>
          <w:sz w:val="24"/>
          <w:szCs w:val="24"/>
          <w:highlight w:val="white"/>
          <w:u w:val="single"/>
          <w:rtl w:val="0"/>
        </w:rPr>
        <w:t xml:space="preserve">Melachim I Ch. 17</w:t>
      </w:r>
    </w:p>
    <w:p w:rsidR="00000000" w:rsidDel="00000000" w:rsidP="00000000" w:rsidRDefault="00000000" w:rsidRPr="00000000">
      <w:pPr>
        <w:widowControl w:val="0"/>
        <w:spacing w:line="259.20000000000005" w:lineRule="auto"/>
        <w:contextualSpacing w:val="0"/>
        <w:jc w:val="both"/>
      </w:pPr>
      <w:r w:rsidDel="00000000" w:rsidR="00000000" w:rsidRPr="00000000">
        <w:rPr>
          <w:rFonts w:ascii="Gentium Book Basic" w:cs="Gentium Book Basic" w:eastAsia="Gentium Book Basic" w:hAnsi="Gentium Book Basic"/>
          <w:color w:val="333333"/>
          <w:sz w:val="24"/>
          <w:szCs w:val="24"/>
          <w:rtl w:val="0"/>
        </w:rPr>
        <w:t xml:space="preserve">After a while, the son of the mistress of the house fell sick, and his illness grew worse, until he had no breath left in him. She said to Elijah, “What harm have I done you, O man of God, that you should come here to recall my sin and cause the death of my son?” “Give me the boy,” he said to her; and taking him from her arms, he carried him to the upper chamber where he was staying, and laid him down on his own bed. He cried out to the LORD and said, “O LORD my God, will You bring calamity upon this widow whose guest I am, and let her son die?” Then he stretched out over the child three times, and cried out to the LORD, saying, “O LORD my God, let this child’s life return to his body!” The LORD heard Elijah’s plea; the child’s life returned to his body, and he revived. Elijah picked up the child and brought him down from the upper room into the main room, and gave him to his mother. “See,” said Elijah, “your son is alive.” And the woman answered Elijah, “Now I know that you are a man of God and that the word of the LORD is truly in your mouth.”</w:t>
      </w:r>
    </w:p>
    <w:p w:rsidR="00000000" w:rsidDel="00000000" w:rsidP="00000000" w:rsidRDefault="00000000" w:rsidRPr="00000000">
      <w:pPr>
        <w:widowControl w:val="0"/>
        <w:spacing w:line="259.20000000000005"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59.20000000000005" w:lineRule="auto"/>
        <w:ind w:left="720" w:hanging="360"/>
        <w:contextualSpacing w:val="1"/>
        <w:jc w:val="center"/>
        <w:rPr>
          <w:rFonts w:ascii="Gentium Book Basic" w:cs="Gentium Book Basic" w:eastAsia="Gentium Book Basic" w:hAnsi="Gentium Book Basic"/>
          <w:b w:val="1"/>
          <w:sz w:val="24"/>
          <w:szCs w:val="24"/>
          <w:highlight w:val="white"/>
          <w:u w:val="none"/>
        </w:rPr>
      </w:pPr>
      <w:r w:rsidDel="00000000" w:rsidR="00000000" w:rsidRPr="00000000">
        <w:rPr>
          <w:rFonts w:ascii="Gentium Book Basic" w:cs="Gentium Book Basic" w:eastAsia="Gentium Book Basic" w:hAnsi="Gentium Book Basic"/>
          <w:b w:val="1"/>
          <w:sz w:val="24"/>
          <w:szCs w:val="24"/>
          <w:highlight w:val="white"/>
          <w:u w:val="single"/>
          <w:rtl w:val="0"/>
        </w:rPr>
        <w:t xml:space="preserve">Midrash Teshuvat Yonah HaNavi</w:t>
      </w:r>
    </w:p>
    <w:p w:rsidR="00000000" w:rsidDel="00000000" w:rsidP="00000000" w:rsidRDefault="00000000" w:rsidRPr="00000000">
      <w:pPr>
        <w:widowControl w:val="0"/>
        <w:bidi w:val="1"/>
        <w:spacing w:line="259.20000000000005" w:lineRule="auto"/>
        <w:contextualSpacing w:val="0"/>
        <w:jc w:val="center"/>
      </w:pPr>
      <w:r w:rsidDel="00000000" w:rsidR="00000000" w:rsidRPr="00000000">
        <w:rPr>
          <w:rFonts w:ascii="Narkisim" w:cs="Narkisim" w:eastAsia="Narkisim" w:hAnsi="Narkisim"/>
          <w:b w:val="1"/>
          <w:sz w:val="24"/>
          <w:szCs w:val="24"/>
          <w:highlight w:val="white"/>
          <w:rtl w:val="1"/>
        </w:rPr>
        <w:t xml:space="preserve">באותה</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שעה</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נפל</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יונה</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על</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פניו</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לפני</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הקב</w:t>
      </w:r>
      <w:r w:rsidDel="00000000" w:rsidR="00000000" w:rsidRPr="00000000">
        <w:rPr>
          <w:rFonts w:ascii="Narkisim" w:cs="Narkisim" w:eastAsia="Narkisim" w:hAnsi="Narkisim"/>
          <w:b w:val="1"/>
          <w:sz w:val="24"/>
          <w:szCs w:val="24"/>
          <w:highlight w:val="white"/>
          <w:rtl w:val="1"/>
        </w:rPr>
        <w:t xml:space="preserve">"</w:t>
      </w:r>
      <w:r w:rsidDel="00000000" w:rsidR="00000000" w:rsidRPr="00000000">
        <w:rPr>
          <w:rFonts w:ascii="Narkisim" w:cs="Narkisim" w:eastAsia="Narkisim" w:hAnsi="Narkisim"/>
          <w:b w:val="1"/>
          <w:sz w:val="24"/>
          <w:szCs w:val="24"/>
          <w:highlight w:val="white"/>
          <w:rtl w:val="1"/>
        </w:rPr>
        <w:t xml:space="preserve">ה</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ואמר</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לפניו</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רבש</w:t>
      </w:r>
      <w:r w:rsidDel="00000000" w:rsidR="00000000" w:rsidRPr="00000000">
        <w:rPr>
          <w:rFonts w:ascii="Narkisim" w:cs="Narkisim" w:eastAsia="Narkisim" w:hAnsi="Narkisim"/>
          <w:b w:val="1"/>
          <w:sz w:val="24"/>
          <w:szCs w:val="24"/>
          <w:highlight w:val="white"/>
          <w:rtl w:val="1"/>
        </w:rPr>
        <w:t xml:space="preserve">"</w:t>
      </w:r>
      <w:r w:rsidDel="00000000" w:rsidR="00000000" w:rsidRPr="00000000">
        <w:rPr>
          <w:rFonts w:ascii="Narkisim" w:cs="Narkisim" w:eastAsia="Narkisim" w:hAnsi="Narkisim"/>
          <w:b w:val="1"/>
          <w:sz w:val="24"/>
          <w:szCs w:val="24"/>
          <w:highlight w:val="white"/>
          <w:rtl w:val="1"/>
        </w:rPr>
        <w:t xml:space="preserve">ע</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במדת</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רחמים</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תנהיג</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את</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עולמך</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ונאה</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לך</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תהלה</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שכן</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כתיב</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לה</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אלהינו</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הרחמים</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והסליחות</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גבורות</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רחמיך</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הרבים</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לא</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הייתי</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יודע</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וחסדיך</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הרבים</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לא</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הייתי</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מגיד</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שאין</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מי</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יעשה</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כמעשיך</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וכגבורותיך</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יפה</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עשית</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יפה</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פעלת</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יפה</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רחמת</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יפה</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חננת</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יפה</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סלחת</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יפה</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קרעת</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להם</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שטר</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חובתם</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יפה</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נחמת</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על</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רעתם</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מי</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אל</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כמוך</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וגו</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Gentium Book Basic" w:cs="Gentium Book Basic" w:eastAsia="Gentium Book Basic" w:hAnsi="Gentium Book Basic"/>
          <w:b w:val="1"/>
          <w:sz w:val="24"/>
          <w:szCs w:val="24"/>
          <w:highlight w:val="white"/>
          <w:u w:val="single"/>
          <w:rtl w:val="0"/>
        </w:rPr>
        <w:t xml:space="preserve"> </w:t>
      </w:r>
    </w:p>
    <w:p w:rsidR="00000000" w:rsidDel="00000000" w:rsidP="00000000" w:rsidRDefault="00000000" w:rsidRPr="00000000">
      <w:pPr>
        <w:widowControl w:val="0"/>
        <w:spacing w:line="259.20000000000005" w:lineRule="auto"/>
        <w:contextualSpacing w:val="0"/>
        <w:jc w:val="center"/>
      </w:pPr>
      <w:r w:rsidDel="00000000" w:rsidR="00000000" w:rsidRPr="00000000">
        <w:rPr>
          <w:rtl w:val="0"/>
        </w:rPr>
      </w:r>
    </w:p>
    <w:p w:rsidR="00000000" w:rsidDel="00000000" w:rsidP="00000000" w:rsidRDefault="00000000" w:rsidRPr="00000000">
      <w:pPr>
        <w:widowControl w:val="0"/>
        <w:spacing w:line="259.20000000000005" w:lineRule="auto"/>
        <w:contextualSpacing w:val="0"/>
        <w:jc w:val="center"/>
      </w:pPr>
      <w:r w:rsidDel="00000000" w:rsidR="00000000" w:rsidRPr="00000000">
        <w:rPr>
          <w:rtl w:val="0"/>
        </w:rPr>
      </w:r>
    </w:p>
    <w:p w:rsidR="00000000" w:rsidDel="00000000" w:rsidP="00000000" w:rsidRDefault="00000000" w:rsidRPr="00000000">
      <w:pPr>
        <w:widowControl w:val="0"/>
        <w:spacing w:line="259.20000000000005" w:lineRule="auto"/>
        <w:contextualSpacing w:val="0"/>
        <w:jc w:val="center"/>
      </w:pPr>
      <w:r w:rsidDel="00000000" w:rsidR="00000000" w:rsidRPr="00000000">
        <w:rPr>
          <w:rtl w:val="0"/>
        </w:rPr>
      </w:r>
    </w:p>
    <w:p w:rsidR="00000000" w:rsidDel="00000000" w:rsidP="00000000" w:rsidRDefault="00000000" w:rsidRPr="00000000">
      <w:pPr>
        <w:widowControl w:val="0"/>
        <w:spacing w:line="259.20000000000005" w:lineRule="auto"/>
        <w:contextualSpacing w:val="0"/>
        <w:jc w:val="center"/>
      </w:pPr>
      <w:r w:rsidDel="00000000" w:rsidR="00000000" w:rsidRPr="00000000">
        <w:rPr>
          <w:rtl w:val="0"/>
        </w:rPr>
      </w:r>
    </w:p>
    <w:p w:rsidR="00000000" w:rsidDel="00000000" w:rsidP="00000000" w:rsidRDefault="00000000" w:rsidRPr="00000000">
      <w:pPr>
        <w:widowControl w:val="0"/>
        <w:spacing w:line="259.20000000000005" w:lineRule="auto"/>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head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Narkisim"/>
  <w:font w:name="Gentium Book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rtl w:val="0"/>
      </w:rPr>
      <w:t xml:space="preserve">Rabbi Ephraim Kleinberg</w:t>
    </w:r>
    <w:r w:rsidDel="00000000" w:rsidR="00000000" w:rsidRPr="00000000">
      <w:rPr>
        <w:rtl w:val="0"/>
      </w:rPr>
      <w:t xml:space="preserve">   </w:t>
      <w:tab/>
      <w:t xml:space="preserve">                                          </w:t>
    </w:r>
    <w:r w:rsidDel="00000000" w:rsidR="00000000" w:rsidRPr="00000000">
      <w:rPr>
        <w:rtl w:val="0"/>
      </w:rPr>
    </w:r>
    <w:r w:rsidDel="00000000" w:rsidR="00000000" w:rsidRPr="00000000">
      <w:rPr>
        <w:rFonts w:ascii="Narkisim" w:cs="Narkisim" w:eastAsia="Narkisim" w:hAnsi="Narkisim"/>
        <w:b w:val="1"/>
        <w:sz w:val="24"/>
        <w:szCs w:val="24"/>
        <w:highlight w:val="white"/>
        <w:rtl w:val="0"/>
      </w:rPr>
      <w:t xml:space="preserve">   </w:t>
      <w:tab/>
    </w:r>
    <w:r w:rsidDel="00000000" w:rsidR="00000000" w:rsidRPr="00000000">
      <w:rPr>
        <w:rFonts w:ascii="Narkisim" w:cs="Narkisim" w:eastAsia="Narkisim" w:hAnsi="Narkisim"/>
        <w:b w:val="1"/>
        <w:sz w:val="24"/>
        <w:szCs w:val="24"/>
        <w:highlight w:val="white"/>
        <w:rtl w:val="1"/>
      </w:rPr>
      <w:t xml:space="preserve">יום</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הכיפורים</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תשע</w:t>
    </w:r>
    <w:r w:rsidDel="00000000" w:rsidR="00000000" w:rsidRPr="00000000">
      <w:rPr>
        <w:rFonts w:ascii="Narkisim" w:cs="Narkisim" w:eastAsia="Narkisim" w:hAnsi="Narkisim"/>
        <w:b w:val="1"/>
        <w:sz w:val="24"/>
        <w:szCs w:val="24"/>
        <w:highlight w:val="white"/>
        <w:rtl w:val="1"/>
      </w:rPr>
      <w:t xml:space="preserve">”</w:t>
    </w:r>
    <w:r w:rsidDel="00000000" w:rsidR="00000000" w:rsidRPr="00000000">
      <w:rPr>
        <w:rFonts w:ascii="Narkisim" w:cs="Narkisim" w:eastAsia="Narkisim" w:hAnsi="Narkisim"/>
        <w:b w:val="1"/>
        <w:sz w:val="24"/>
        <w:szCs w:val="24"/>
        <w:highlight w:val="white"/>
        <w:rtl w:val="1"/>
      </w:rPr>
      <w:t xml:space="preserve">ז</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entiumBookBasic-regular.ttf"/><Relationship Id="rId2" Type="http://schemas.openxmlformats.org/officeDocument/2006/relationships/font" Target="fonts/GentiumBookBasic-bold.ttf"/><Relationship Id="rId3" Type="http://schemas.openxmlformats.org/officeDocument/2006/relationships/font" Target="fonts/GentiumBookBasic-italic.ttf"/><Relationship Id="rId4" Type="http://schemas.openxmlformats.org/officeDocument/2006/relationships/font" Target="fonts/GentiumBookBasic-boldItalic.ttf"/></Relationships>
</file>