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49DB94E"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33053">
        <w:rPr>
          <w:rFonts w:hint="cs"/>
          <w:u w:val="single"/>
          <w:rtl/>
        </w:rPr>
        <w:t>8</w:t>
      </w:r>
    </w:p>
    <w:p w14:paraId="38E627E5" w14:textId="77777777" w:rsidR="00DC49EA" w:rsidRDefault="00DC49EA" w:rsidP="00DC49EA">
      <w:pPr>
        <w:spacing w:after="120"/>
        <w:jc w:val="both"/>
      </w:pPr>
    </w:p>
    <w:p w14:paraId="5FC7510F" w14:textId="77777777" w:rsidR="00480DCE" w:rsidRDefault="005F0B1F" w:rsidP="000F61AD">
      <w:pPr>
        <w:spacing w:after="120"/>
        <w:jc w:val="both"/>
        <w:rPr>
          <w:rtl/>
        </w:rPr>
      </w:pPr>
      <w:r>
        <w:rPr>
          <w:rFonts w:hint="cs"/>
          <w:rtl/>
        </w:rPr>
        <w:t>(1)</w:t>
      </w:r>
      <w:r w:rsidR="004A560F">
        <w:rPr>
          <w:rFonts w:hint="cs"/>
          <w:rtl/>
        </w:rPr>
        <w:t xml:space="preserve"> </w:t>
      </w:r>
      <w:r w:rsidR="00480DCE">
        <w:rPr>
          <w:rFonts w:hint="cs"/>
          <w:rtl/>
        </w:rPr>
        <w:t>לסיים את המקורות מדף 7 חלק 1</w:t>
      </w:r>
    </w:p>
    <w:p w14:paraId="7969F5F6" w14:textId="43B20CE8" w:rsidR="00480DCE" w:rsidRDefault="00A84357" w:rsidP="000F61AD">
      <w:pPr>
        <w:spacing w:after="120"/>
        <w:jc w:val="both"/>
        <w:rPr>
          <w:rFonts w:hint="cs"/>
          <w:rtl/>
        </w:rPr>
      </w:pPr>
      <w:r>
        <w:rPr>
          <w:rFonts w:hint="cs"/>
          <w:rtl/>
        </w:rPr>
        <w:t xml:space="preserve">[בענין מעמד של כהן המשמש </w:t>
      </w:r>
      <w:r w:rsidR="007F72C4">
        <w:rPr>
          <w:rFonts w:hint="cs"/>
          <w:rtl/>
        </w:rPr>
        <w:t>ביוה"כ</w:t>
      </w:r>
      <w:r w:rsidR="007F72C4">
        <w:rPr>
          <w:rFonts w:hint="cs"/>
          <w:rtl/>
        </w:rPr>
        <w:t xml:space="preserve"> במקום</w:t>
      </w:r>
      <w:r>
        <w:rPr>
          <w:rFonts w:hint="cs"/>
          <w:rtl/>
        </w:rPr>
        <w:t xml:space="preserve"> כהן גדול שנטמא, עיין עוד </w:t>
      </w:r>
      <w:r w:rsidR="0022286E">
        <w:rPr>
          <w:rFonts w:hint="cs"/>
          <w:rtl/>
        </w:rPr>
        <w:t xml:space="preserve">תו"י יב: ד"ה שני כל מצוות כ"ג עליו </w:t>
      </w:r>
      <w:r w:rsidR="0022286E">
        <w:rPr>
          <w:rFonts w:hint="cs"/>
          <w:rtl/>
        </w:rPr>
        <w:t>(או תוס' הרא"ש</w:t>
      </w:r>
      <w:r w:rsidR="0022286E">
        <w:rPr>
          <w:rFonts w:hint="cs"/>
          <w:rtl/>
        </w:rPr>
        <w:t xml:space="preserve"> שם</w:t>
      </w:r>
      <w:r w:rsidR="0022286E">
        <w:rPr>
          <w:rFonts w:hint="cs"/>
          <w:rtl/>
        </w:rPr>
        <w:t>, ולשו</w:t>
      </w:r>
      <w:r w:rsidR="0022286E">
        <w:rPr>
          <w:rFonts w:hint="cs"/>
          <w:rtl/>
        </w:rPr>
        <w:t xml:space="preserve">נו </w:t>
      </w:r>
      <w:r w:rsidR="0022286E">
        <w:rPr>
          <w:rFonts w:hint="cs"/>
          <w:rtl/>
        </w:rPr>
        <w:t>יותר ברור)</w:t>
      </w:r>
      <w:r w:rsidR="0022286E">
        <w:rPr>
          <w:rFonts w:hint="cs"/>
          <w:rtl/>
        </w:rPr>
        <w:t>, תו"י מט: ד"ה שחט ומת]</w:t>
      </w:r>
    </w:p>
    <w:p w14:paraId="758CC176" w14:textId="77777777" w:rsidR="00A84357" w:rsidRDefault="00A84357" w:rsidP="000F61AD">
      <w:pPr>
        <w:spacing w:after="120"/>
        <w:jc w:val="both"/>
        <w:rPr>
          <w:rFonts w:hint="cs"/>
          <w:rtl/>
        </w:rPr>
      </w:pPr>
    </w:p>
    <w:p w14:paraId="1BCA7B86" w14:textId="109DD485" w:rsidR="00480DCE" w:rsidRDefault="00480DCE" w:rsidP="00480DCE">
      <w:pPr>
        <w:spacing w:after="120"/>
        <w:jc w:val="both"/>
        <w:rPr>
          <w:rtl/>
        </w:rPr>
      </w:pPr>
      <w:r>
        <w:rPr>
          <w:rFonts w:hint="cs"/>
          <w:rtl/>
        </w:rPr>
        <w:t>(</w:t>
      </w:r>
      <w:r w:rsidR="008559B7">
        <w:rPr>
          <w:rFonts w:hint="cs"/>
          <w:rtl/>
        </w:rPr>
        <w:t>2</w:t>
      </w:r>
      <w:r>
        <w:rPr>
          <w:rFonts w:hint="cs"/>
          <w:rtl/>
        </w:rPr>
        <w:t xml:space="preserve">) לסיים את המקורות מדף 7 חלק </w:t>
      </w:r>
      <w:r>
        <w:rPr>
          <w:rFonts w:hint="cs"/>
          <w:rtl/>
        </w:rPr>
        <w:t>2</w:t>
      </w:r>
    </w:p>
    <w:p w14:paraId="3BAD5DF6" w14:textId="733B8141" w:rsidR="00480DCE" w:rsidRDefault="0022286E" w:rsidP="000F61AD">
      <w:pPr>
        <w:spacing w:after="120"/>
        <w:jc w:val="both"/>
        <w:rPr>
          <w:rtl/>
        </w:rPr>
      </w:pPr>
      <w:r>
        <w:rPr>
          <w:rFonts w:hint="cs"/>
          <w:rtl/>
        </w:rPr>
        <w:t>(הציון שם לרמב"ם</w:t>
      </w:r>
      <w:r>
        <w:rPr>
          <w:rFonts w:hint="cs"/>
          <w:rtl/>
        </w:rPr>
        <w:t xml:space="preserve"> בית הבחירה י:י</w:t>
      </w:r>
      <w:r>
        <w:rPr>
          <w:rFonts w:hint="cs"/>
          <w:rtl/>
        </w:rPr>
        <w:t xml:space="preserve"> הוא טעות, והכוונה לרמב"ם כלי המקדש י:י)</w:t>
      </w:r>
    </w:p>
    <w:p w14:paraId="30197A6F" w14:textId="77777777" w:rsidR="00A01D2D" w:rsidRDefault="009B5ADB" w:rsidP="000F61AD">
      <w:pPr>
        <w:spacing w:after="120"/>
        <w:jc w:val="both"/>
        <w:rPr>
          <w:rtl/>
        </w:rPr>
      </w:pPr>
      <w:r>
        <w:rPr>
          <w:rFonts w:hint="cs"/>
          <w:rtl/>
        </w:rPr>
        <w:t>בענין מהות האורים והתומים, עיין עוד</w:t>
      </w:r>
      <w:r w:rsidR="00A01D2D">
        <w:rPr>
          <w:rFonts w:hint="cs"/>
          <w:rtl/>
        </w:rPr>
        <w:t>:</w:t>
      </w:r>
    </w:p>
    <w:p w14:paraId="0CD5DB34" w14:textId="7B3C0E86" w:rsidR="00A01D2D" w:rsidRDefault="00A01D2D" w:rsidP="001F6CF5">
      <w:pPr>
        <w:spacing w:after="120"/>
        <w:jc w:val="both"/>
        <w:rPr>
          <w:rtl/>
        </w:rPr>
      </w:pPr>
      <w:r>
        <w:rPr>
          <w:rFonts w:hint="cs"/>
          <w:rtl/>
        </w:rPr>
        <w:t>רש"י שמות כח:ל</w:t>
      </w:r>
      <w:r w:rsidR="001F6CF5">
        <w:rPr>
          <w:rFonts w:hint="cs"/>
          <w:rtl/>
        </w:rPr>
        <w:t xml:space="preserve">, </w:t>
      </w:r>
      <w:r w:rsidR="009B5ADB">
        <w:rPr>
          <w:rFonts w:hint="cs"/>
          <w:rtl/>
        </w:rPr>
        <w:t>מרכבת המשנה על הרמב"ם בית הבחירה ד:א, אבן האזל שם (עד "הי' חסר בבית שני")</w:t>
      </w:r>
    </w:p>
    <w:p w14:paraId="1880E39F" w14:textId="7BAA0148" w:rsidR="0022286E" w:rsidRDefault="009B5ADB" w:rsidP="001F6CF5">
      <w:pPr>
        <w:spacing w:after="120"/>
        <w:jc w:val="both"/>
        <w:rPr>
          <w:rtl/>
        </w:rPr>
      </w:pPr>
      <w:r>
        <w:rPr>
          <w:rFonts w:hint="cs"/>
          <w:rtl/>
        </w:rPr>
        <w:t xml:space="preserve">[אוצר הגאונים </w:t>
      </w:r>
      <w:r w:rsidR="007F72C4">
        <w:rPr>
          <w:rFonts w:hint="cs"/>
          <w:rtl/>
        </w:rPr>
        <w:t xml:space="preserve">מסכת </w:t>
      </w:r>
      <w:r>
        <w:rPr>
          <w:rFonts w:hint="cs"/>
          <w:rtl/>
        </w:rPr>
        <w:t>ברכות סימן ד וסימן ו</w:t>
      </w:r>
      <w:r w:rsidR="00A01D2D">
        <w:rPr>
          <w:rFonts w:hint="cs"/>
          <w:rtl/>
        </w:rPr>
        <w:t>]</w:t>
      </w:r>
      <w:r w:rsidR="001F6CF5">
        <w:rPr>
          <w:rFonts w:hint="cs"/>
          <w:rtl/>
        </w:rPr>
        <w:t xml:space="preserve">, </w:t>
      </w:r>
      <w:r w:rsidR="00A01D2D">
        <w:rPr>
          <w:rFonts w:hint="cs"/>
          <w:rtl/>
        </w:rPr>
        <w:t>[ןע"ע אבן עזרא שמות כח:ו, ורמב"ן (כח:ל) בשמו, ואכמ"ל]</w:t>
      </w:r>
    </w:p>
    <w:p w14:paraId="12BDB904" w14:textId="11EEB5E8" w:rsidR="000F61AD" w:rsidRDefault="000F61AD" w:rsidP="00EB4F5A">
      <w:pPr>
        <w:spacing w:after="120"/>
        <w:jc w:val="both"/>
        <w:rPr>
          <w:rtl/>
        </w:rPr>
      </w:pPr>
    </w:p>
    <w:p w14:paraId="2ECCB08F" w14:textId="554EC207" w:rsidR="001F6CF5" w:rsidRDefault="00E37ACA" w:rsidP="001F6CF5">
      <w:pPr>
        <w:spacing w:after="120"/>
        <w:jc w:val="both"/>
        <w:rPr>
          <w:rtl/>
        </w:rPr>
      </w:pPr>
      <w:r>
        <w:rPr>
          <w:rFonts w:hint="cs"/>
          <w:rtl/>
        </w:rPr>
        <w:t>(</w:t>
      </w:r>
      <w:r w:rsidR="00A01D2D">
        <w:rPr>
          <w:rFonts w:hint="cs"/>
          <w:rtl/>
        </w:rPr>
        <w:t>3</w:t>
      </w:r>
      <w:r>
        <w:rPr>
          <w:rFonts w:hint="cs"/>
          <w:rtl/>
        </w:rPr>
        <w:t>) גמרא ה:</w:t>
      </w:r>
      <w:r>
        <w:rPr>
          <w:rFonts w:hint="cs"/>
        </w:rPr>
        <w:t xml:space="preserve"> </w:t>
      </w:r>
      <w:r>
        <w:rPr>
          <w:rFonts w:hint="cs"/>
          <w:rtl/>
        </w:rPr>
        <w:t>"</w:t>
      </w:r>
      <w:r w:rsidR="008559B7">
        <w:rPr>
          <w:rFonts w:hint="cs"/>
          <w:rtl/>
        </w:rPr>
        <w:t xml:space="preserve">ת"ר כי כן צויתי ... </w:t>
      </w:r>
      <w:r w:rsidR="001F6CF5">
        <w:rPr>
          <w:rFonts w:hint="cs"/>
          <w:rtl/>
        </w:rPr>
        <w:t>ולא מאלי אני אומר"</w:t>
      </w:r>
      <w:r>
        <w:rPr>
          <w:rFonts w:hint="cs"/>
          <w:rtl/>
        </w:rPr>
        <w:t>, רש"י, תו</w:t>
      </w:r>
      <w:r w:rsidR="001F6CF5">
        <w:rPr>
          <w:rFonts w:hint="cs"/>
          <w:rtl/>
        </w:rPr>
        <w:t>"י, ריטב"א, מרומי שדה</w:t>
      </w:r>
    </w:p>
    <w:p w14:paraId="263C6FAD" w14:textId="2FDF910F" w:rsidR="0022286E" w:rsidRDefault="001F6CF5" w:rsidP="001F6CF5">
      <w:pPr>
        <w:spacing w:after="120"/>
        <w:jc w:val="both"/>
        <w:rPr>
          <w:rtl/>
        </w:rPr>
      </w:pPr>
      <w:r>
        <w:rPr>
          <w:rFonts w:hint="cs"/>
          <w:rtl/>
        </w:rPr>
        <w:t>[רש"י זבחים קא. ד"ה בשעת מעשה]</w:t>
      </w:r>
    </w:p>
    <w:p w14:paraId="5AEC6D10" w14:textId="033F0EDC" w:rsidR="007F72C4" w:rsidRDefault="001F6CF5" w:rsidP="007F72C4">
      <w:pPr>
        <w:spacing w:after="120"/>
        <w:jc w:val="both"/>
        <w:rPr>
          <w:rtl/>
        </w:rPr>
      </w:pPr>
      <w:r>
        <w:rPr>
          <w:rFonts w:hint="cs"/>
          <w:rtl/>
        </w:rPr>
        <w:t>[</w:t>
      </w:r>
      <w:r w:rsidR="00115E70">
        <w:rPr>
          <w:rFonts w:hint="cs"/>
          <w:rtl/>
        </w:rPr>
        <w:t xml:space="preserve">מה סברת הריטב"א "דשמא אפילו בקדשי שעה </w:t>
      </w:r>
      <w:r>
        <w:rPr>
          <w:rFonts w:hint="cs"/>
          <w:rtl/>
        </w:rPr>
        <w:t>יש הפרש בין זבח למנחה"</w:t>
      </w:r>
      <w:r w:rsidR="00115E70">
        <w:rPr>
          <w:rFonts w:hint="cs"/>
          <w:rtl/>
        </w:rPr>
        <w:t xml:space="preserve">? </w:t>
      </w:r>
      <w:r w:rsidR="007F72C4">
        <w:rPr>
          <w:rFonts w:hint="cs"/>
          <w:rtl/>
        </w:rPr>
        <w:t xml:space="preserve"> </w:t>
      </w:r>
      <w:r w:rsidR="00115E70">
        <w:rPr>
          <w:rFonts w:hint="cs"/>
          <w:rtl/>
        </w:rPr>
        <w:t xml:space="preserve">עיין </w:t>
      </w:r>
      <w:r w:rsidR="007F72C4">
        <w:rPr>
          <w:rFonts w:hint="cs"/>
          <w:rtl/>
        </w:rPr>
        <w:t xml:space="preserve">ויקרא ו:ז-טז, גמ' מנחות ט.-ט: "איתמר מנחה שחסרה ... מנחה שהיתה כבר", </w:t>
      </w:r>
      <w:r w:rsidR="00115E70">
        <w:rPr>
          <w:rFonts w:hint="cs"/>
          <w:rtl/>
        </w:rPr>
        <w:t>העמק דבר ויקרא ב:ג</w:t>
      </w:r>
      <w:r w:rsidR="007F72C4">
        <w:rPr>
          <w:rFonts w:hint="cs"/>
          <w:rtl/>
        </w:rPr>
        <w:t>]</w:t>
      </w:r>
    </w:p>
    <w:p w14:paraId="002597CA" w14:textId="77777777" w:rsidR="001F6CF5" w:rsidRDefault="001F6CF5" w:rsidP="003A0205">
      <w:pPr>
        <w:spacing w:after="120"/>
        <w:jc w:val="both"/>
        <w:rPr>
          <w:rtl/>
        </w:rPr>
      </w:pPr>
    </w:p>
    <w:p w14:paraId="6E655506" w14:textId="77777777" w:rsidR="00500D68" w:rsidRDefault="00500D68" w:rsidP="009B5ADB">
      <w:pPr>
        <w:jc w:val="both"/>
        <w:rPr>
          <w:u w:val="single"/>
          <w:rtl/>
        </w:rPr>
      </w:pPr>
    </w:p>
    <w:p w14:paraId="2A33C652" w14:textId="702FA1F6" w:rsidR="009B5ADB" w:rsidRPr="009B5ADB" w:rsidRDefault="009B5ADB" w:rsidP="009B5ADB">
      <w:pPr>
        <w:jc w:val="both"/>
        <w:rPr>
          <w:u w:val="single"/>
          <w:rtl/>
        </w:rPr>
      </w:pPr>
      <w:r w:rsidRPr="009B5ADB">
        <w:rPr>
          <w:u w:val="single"/>
          <w:rtl/>
        </w:rPr>
        <w:t>מרכבת המשנה (חעלמא) הלכות בית הבחירה פרק ד הלכה א</w:t>
      </w:r>
    </w:p>
    <w:p w14:paraId="532C87B3" w14:textId="0B2858C0" w:rsidR="00E37ACA" w:rsidRDefault="009B5ADB" w:rsidP="009B5ADB">
      <w:pPr>
        <w:jc w:val="both"/>
        <w:rPr>
          <w:rtl/>
        </w:rPr>
      </w:pPr>
      <w:r>
        <w:rPr>
          <w:rtl/>
        </w:rPr>
        <w:t>[א] ואף אורים ותומים וכו'. עיין השגות וכ"מ ומל"מ. ועי' מ"ש רבנו פ"י מהל' כלי המקדש ה"י דמוכח דאורים ותומים ורוח הקדש ושכינה חד מלתא נינהו דבהעדר שריית שכינה ליכא רוח הקודש ובהעדר רוח הקודש ליכא אורים ותומים. והנכון כמ"ש הכ"מ דארון וכפורת וכרובים חשיב רבנו בתלת (והרי לדרך רבנו ויתן אל החשן את האורים ותומים קורא לאבני החושן המאירים אורים ותומים).</w:t>
      </w:r>
    </w:p>
    <w:p w14:paraId="25E17234" w14:textId="54E6EE0F" w:rsidR="009B5ADB" w:rsidRDefault="009B5ADB" w:rsidP="009B5ADB">
      <w:pPr>
        <w:jc w:val="both"/>
        <w:rPr>
          <w:rtl/>
        </w:rPr>
      </w:pPr>
    </w:p>
    <w:p w14:paraId="4A33662E" w14:textId="77777777" w:rsidR="009B5ADB" w:rsidRPr="008559B7" w:rsidRDefault="009B5ADB" w:rsidP="009B5ADB">
      <w:pPr>
        <w:jc w:val="both"/>
        <w:rPr>
          <w:u w:val="single"/>
          <w:rtl/>
        </w:rPr>
      </w:pPr>
      <w:r w:rsidRPr="008559B7">
        <w:rPr>
          <w:u w:val="single"/>
          <w:rtl/>
        </w:rPr>
        <w:t>אבן האזל הלכות בית הבחירה פרק ד הלכה א</w:t>
      </w:r>
    </w:p>
    <w:p w14:paraId="3A47A5FE" w14:textId="21B0ADA8" w:rsidR="009B5ADB" w:rsidRDefault="009B5ADB" w:rsidP="009B5ADB">
      <w:pPr>
        <w:jc w:val="both"/>
        <w:rPr>
          <w:rtl/>
        </w:rPr>
      </w:pPr>
      <w:r>
        <w:rPr>
          <w:rtl/>
        </w:rPr>
        <w:t>הכ"מ כתב וז"ל ומש"כ הראב"ד שאינו מחשבון הבגדים טעמו שהוא קורא אורים ותומים לשם המפורש שהיו נותנין בין כפלי החושן, כדכתיב ונתת אל החשן את האורים ואת התומים, ורבינו קורא פה אורים ותומים לחשן בדרך השאלה עכ"ל, ודבריו תמוהים דבפ"י מהל' כלי המקדש כתב הרמב"ם להדיא שהיו אורים ותומים בבית שני ומפני מה לא היו שואלין בהן לפי שלא היתה שם רוח הקודש, וכל כהן שאינו מדבר ברוח הקודש ואין שכינה שורה עליו אין נשאלין בו, ומוכח מדבריו דעיקר האורים ותומים דהיינו השם המפורש לא היה חסר גם בבית שני. ולכן ע"כ דודאי הי' גם השם המפורש בכפלי החשן גם בבית שני, אלא דלפי שלא הי' רוח הקודש לא היו נשאלין בו, ושפיר אמר בגמ' דלא היו אורים ותומים בבית שני כיון שלא היו נשאלין בהם, ואותיות השבטים של החשן לא היו מאירים, וכמו שאמרו למה נקראו אורים שמאירין את דבריהם, ומ"מ אין בזה עיכוב לדין החושן כיון שמצד המעשה אין כאן חסרון וכל רגע יוכל הכה"ג לזכות לרוה"ק ויאירו האותיות, לכן שפיר נקרא השם המפורש אורים ותומים, ולפלא על הכ"מ שמקודם הביא דברי התוס' בסוף פ"ק דיומא שכתבו כד' הרמב"ם ומלשונם ג"כ מוכח שרק לא היו משיבין, אבל לא הי' חסרון במעשה האורים ותומים, והראב"ד סובר דעיקר האורים ותומים והיינו השם המפורש הי' חסר בבית שני.</w:t>
      </w:r>
    </w:p>
    <w:p w14:paraId="1202C307" w14:textId="0F00917A" w:rsidR="009B5ADB" w:rsidRDefault="009B5ADB" w:rsidP="009B5ADB">
      <w:pPr>
        <w:jc w:val="both"/>
        <w:rPr>
          <w:rtl/>
        </w:rPr>
      </w:pPr>
    </w:p>
    <w:p w14:paraId="717527B9" w14:textId="77777777" w:rsidR="001F6CF5" w:rsidRPr="001F6CF5" w:rsidRDefault="001F6CF5" w:rsidP="001F6CF5">
      <w:pPr>
        <w:jc w:val="both"/>
        <w:rPr>
          <w:u w:val="single"/>
          <w:rtl/>
        </w:rPr>
      </w:pPr>
      <w:r w:rsidRPr="001F6CF5">
        <w:rPr>
          <w:u w:val="single"/>
          <w:rtl/>
        </w:rPr>
        <w:t>מרומי שדה מסכת יומא דף ה עמוד ב</w:t>
      </w:r>
    </w:p>
    <w:p w14:paraId="2C3E38F2" w14:textId="6A1B5468" w:rsidR="007F72C4" w:rsidRPr="00ED1AFC" w:rsidRDefault="001F6CF5" w:rsidP="007F72C4">
      <w:pPr>
        <w:jc w:val="both"/>
      </w:pPr>
      <w:r>
        <w:rPr>
          <w:rtl/>
        </w:rPr>
        <w:t>אמר להם כאשר צוה ה' ולא מאלי אני אומר. ופירש"י דקאי על אכילה באנינות. וא"כ היינו הך דקאמר משה מתחילה כי כן צוויתי. ולולא פירש"י הייתי אומר דקאי על הא דצוה להניף את החזה יחד עם שוק הימין, ובפ' צו כתיב בפירוש כאשר צוה משה, אבל מפי ה' עוד לא נזכר מצות תנופה אלא בחזה, והא דכתיב במילואים מצות תנופה בשוק, אינו ענין לדורות, דבמילואים היה מקטיר השוק יחד עם החלבים. משו"ה כאשר צוה משה להניף לדורות יחד השוק עם החזה, פי' משה כי כן צוה ה' להניף לדורות את השוק ג"כ:</w:t>
      </w:r>
    </w:p>
    <w:sectPr w:rsidR="007F72C4" w:rsidRPr="00ED1AFC" w:rsidSect="007F72C4">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2E59" w14:textId="77777777" w:rsidR="004D6E30" w:rsidRDefault="004D6E30">
      <w:r>
        <w:separator/>
      </w:r>
    </w:p>
  </w:endnote>
  <w:endnote w:type="continuationSeparator" w:id="0">
    <w:p w14:paraId="10AF69A3" w14:textId="77777777" w:rsidR="004D6E30" w:rsidRDefault="004D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B022" w14:textId="77777777" w:rsidR="004D6E30" w:rsidRDefault="004D6E30">
      <w:r>
        <w:separator/>
      </w:r>
    </w:p>
  </w:footnote>
  <w:footnote w:type="continuationSeparator" w:id="0">
    <w:p w14:paraId="1D0BB595" w14:textId="77777777" w:rsidR="004D6E30" w:rsidRDefault="004D6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6BB"/>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DB"/>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27DA0"/>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E766-EE2C-4330-A0FE-9AE52563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2020-07-10T06:52:00Z</dcterms:created>
  <dcterms:modified xsi:type="dcterms:W3CDTF">2020-07-10T09:48:00Z</dcterms:modified>
</cp:coreProperties>
</file>