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03CB8BA5" w:rsidR="00746C02" w:rsidRPr="00037654" w:rsidRDefault="00D036C2" w:rsidP="0008756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D8165A">
        <w:rPr>
          <w:rFonts w:hint="cs"/>
          <w:u w:val="single"/>
          <w:rtl/>
        </w:rPr>
        <w:t>יומא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C83A8C">
        <w:rPr>
          <w:rFonts w:hint="cs"/>
          <w:u w:val="single"/>
          <w:rtl/>
        </w:rPr>
        <w:t>12</w:t>
      </w:r>
    </w:p>
    <w:p w14:paraId="38E627E5" w14:textId="77777777" w:rsidR="00DC49EA" w:rsidRDefault="00DC49EA" w:rsidP="00DC49EA">
      <w:pPr>
        <w:spacing w:after="120"/>
        <w:jc w:val="both"/>
      </w:pPr>
    </w:p>
    <w:p w14:paraId="7D78527A" w14:textId="77777777" w:rsidR="00B96131" w:rsidRDefault="00D36BE5" w:rsidP="00B96131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>
        <w:t>1</w:t>
      </w:r>
      <w:r>
        <w:rPr>
          <w:rFonts w:hint="cs"/>
          <w:rtl/>
        </w:rPr>
        <w:t xml:space="preserve">) </w:t>
      </w:r>
      <w:r w:rsidR="00B96131">
        <w:rPr>
          <w:rFonts w:hint="cs"/>
          <w:rtl/>
        </w:rPr>
        <w:t xml:space="preserve">בענין מיקום לשכת </w:t>
      </w:r>
      <w:proofErr w:type="spellStart"/>
      <w:r w:rsidR="00B96131">
        <w:rPr>
          <w:rFonts w:hint="cs"/>
          <w:rtl/>
        </w:rPr>
        <w:t>פרהדרין</w:t>
      </w:r>
      <w:proofErr w:type="spellEnd"/>
      <w:r w:rsidR="00B96131">
        <w:rPr>
          <w:rFonts w:hint="cs"/>
          <w:rtl/>
        </w:rPr>
        <w:t>:</w:t>
      </w:r>
    </w:p>
    <w:p w14:paraId="1E1408BE" w14:textId="2A15A411" w:rsidR="00B96131" w:rsidRDefault="00B96131" w:rsidP="00B961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פירוש המיוחס </w:t>
      </w:r>
      <w:proofErr w:type="spellStart"/>
      <w:r>
        <w:rPr>
          <w:rFonts w:hint="cs"/>
          <w:rtl/>
        </w:rPr>
        <w:t>לראב"ד</w:t>
      </w:r>
      <w:proofErr w:type="spellEnd"/>
      <w:r>
        <w:rPr>
          <w:rFonts w:hint="cs"/>
          <w:rtl/>
        </w:rPr>
        <w:t xml:space="preserve"> על מסכת תמיד דף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. (נדפס בש"ס </w:t>
      </w:r>
      <w:proofErr w:type="spellStart"/>
      <w:r>
        <w:rPr>
          <w:rFonts w:hint="cs"/>
          <w:rtl/>
        </w:rPr>
        <w:t>וילנא</w:t>
      </w:r>
      <w:proofErr w:type="spellEnd"/>
      <w:r>
        <w:rPr>
          <w:rFonts w:hint="cs"/>
          <w:rtl/>
        </w:rPr>
        <w:t xml:space="preserve"> בדף ל.</w:t>
      </w:r>
      <w:r w:rsidR="00153FD1">
        <w:rPr>
          <w:rFonts w:hint="cs"/>
          <w:rtl/>
        </w:rPr>
        <w:t>)</w:t>
      </w:r>
      <w:r>
        <w:rPr>
          <w:rFonts w:hint="cs"/>
          <w:rtl/>
        </w:rPr>
        <w:t xml:space="preserve"> "</w:t>
      </w:r>
      <w:r w:rsidRPr="009B5AA3">
        <w:rPr>
          <w:rtl/>
        </w:rPr>
        <w:t xml:space="preserve">ולשכת </w:t>
      </w:r>
      <w:proofErr w:type="spellStart"/>
      <w:r w:rsidRPr="009B5AA3">
        <w:rPr>
          <w:rtl/>
        </w:rPr>
        <w:t>פרהדרין</w:t>
      </w:r>
      <w:proofErr w:type="spellEnd"/>
      <w:r w:rsidRPr="009B5AA3">
        <w:rPr>
          <w:rtl/>
        </w:rPr>
        <w:t xml:space="preserve"> הואיל ואתא לידן</w:t>
      </w:r>
      <w:r>
        <w:rPr>
          <w:rFonts w:hint="cs"/>
          <w:rtl/>
        </w:rPr>
        <w:t xml:space="preserve"> ... </w:t>
      </w:r>
      <w:r w:rsidRPr="009B5AA3">
        <w:rPr>
          <w:rtl/>
        </w:rPr>
        <w:t>שסמוך עצמו לכותל</w:t>
      </w:r>
      <w:r>
        <w:rPr>
          <w:rFonts w:hint="cs"/>
          <w:rtl/>
        </w:rPr>
        <w:t>"</w:t>
      </w:r>
    </w:p>
    <w:p w14:paraId="5A65F0A5" w14:textId="77777777" w:rsidR="00153FD1" w:rsidRDefault="00B96131" w:rsidP="00B96131">
      <w:pPr>
        <w:spacing w:after="120"/>
        <w:jc w:val="both"/>
        <w:rPr>
          <w:rtl/>
        </w:rPr>
      </w:pPr>
      <w:r>
        <w:rPr>
          <w:rFonts w:hint="cs"/>
          <w:rtl/>
        </w:rPr>
        <w:t>תוספות ח: ד"ה דאי</w:t>
      </w:r>
    </w:p>
    <w:p w14:paraId="01A02284" w14:textId="61FA4CEC" w:rsidR="00B96131" w:rsidRDefault="00115ADF" w:rsidP="00B961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ריטב"א </w:t>
      </w:r>
      <w:r w:rsidR="000273C1">
        <w:rPr>
          <w:rFonts w:hint="cs"/>
          <w:rtl/>
        </w:rPr>
        <w:t>יא. ד"ה לפנים הימנו</w:t>
      </w:r>
    </w:p>
    <w:p w14:paraId="7758CBFC" w14:textId="77777777" w:rsidR="00B96131" w:rsidRDefault="00B96131" w:rsidP="00B96131">
      <w:pPr>
        <w:spacing w:after="120"/>
        <w:jc w:val="both"/>
        <w:rPr>
          <w:rtl/>
        </w:rPr>
      </w:pPr>
    </w:p>
    <w:p w14:paraId="64B2F1BB" w14:textId="56D30BD5" w:rsidR="000E23DF" w:rsidRDefault="00B96131" w:rsidP="00B961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1239C5">
        <w:rPr>
          <w:rFonts w:hint="cs"/>
          <w:rtl/>
        </w:rPr>
        <w:t>האם דין בועל נדה כנדה?</w:t>
      </w:r>
    </w:p>
    <w:p w14:paraId="4E32D9EA" w14:textId="6FEC62DD" w:rsidR="000E23DF" w:rsidRDefault="00B96131" w:rsidP="00B96131">
      <w:pPr>
        <w:spacing w:after="120"/>
        <w:jc w:val="both"/>
        <w:rPr>
          <w:rtl/>
        </w:rPr>
      </w:pPr>
      <w:r>
        <w:rPr>
          <w:rFonts w:hint="cs"/>
          <w:rtl/>
        </w:rPr>
        <w:t>תו</w:t>
      </w:r>
      <w:r w:rsidR="000E23DF">
        <w:rPr>
          <w:rFonts w:hint="cs"/>
          <w:rtl/>
        </w:rPr>
        <w:t>ס' ד"ה סיפא ו</w:t>
      </w:r>
      <w:r>
        <w:rPr>
          <w:rFonts w:hint="cs"/>
          <w:rtl/>
        </w:rPr>
        <w:t>ד"ה שמטמא</w:t>
      </w:r>
      <w:r w:rsidR="001239C5">
        <w:rPr>
          <w:rFonts w:hint="cs"/>
          <w:rtl/>
        </w:rPr>
        <w:t xml:space="preserve">, [שפת אמת ד"ה </w:t>
      </w:r>
      <w:proofErr w:type="spellStart"/>
      <w:r w:rsidR="001239C5">
        <w:rPr>
          <w:rFonts w:hint="cs"/>
          <w:rtl/>
        </w:rPr>
        <w:t>דתני</w:t>
      </w:r>
      <w:proofErr w:type="spellEnd"/>
      <w:r w:rsidR="001239C5">
        <w:rPr>
          <w:rFonts w:hint="cs"/>
          <w:rtl/>
        </w:rPr>
        <w:t xml:space="preserve"> ר"ח כו']</w:t>
      </w:r>
    </w:p>
    <w:p w14:paraId="517D6EE6" w14:textId="77777777" w:rsidR="00ED78FC" w:rsidRDefault="00B96131" w:rsidP="00B961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נדה לג. </w:t>
      </w:r>
      <w:r w:rsidR="000E23DF">
        <w:rPr>
          <w:rFonts w:hint="cs"/>
          <w:rtl/>
        </w:rPr>
        <w:t xml:space="preserve">ד"ה מה היא מטמאה אדם, שם </w:t>
      </w:r>
      <w:r>
        <w:rPr>
          <w:rFonts w:hint="cs"/>
          <w:rtl/>
        </w:rPr>
        <w:t>ד"ה וכלי חרס</w:t>
      </w:r>
    </w:p>
    <w:p w14:paraId="7F3C556C" w14:textId="30E82FDF" w:rsidR="000E23DF" w:rsidRDefault="001239C5" w:rsidP="00B961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הרא"ש שם (נדפס </w:t>
      </w:r>
      <w:r w:rsidR="00ED78FC">
        <w:rPr>
          <w:rFonts w:hint="cs"/>
          <w:rtl/>
        </w:rPr>
        <w:t>בשולי הדף</w:t>
      </w:r>
      <w:r w:rsidR="002A4F41">
        <w:rPr>
          <w:rFonts w:hint="cs"/>
          <w:rtl/>
        </w:rPr>
        <w:t xml:space="preserve"> בש"ס </w:t>
      </w:r>
      <w:proofErr w:type="spellStart"/>
      <w:r w:rsidR="002A4F41">
        <w:rPr>
          <w:rFonts w:hint="cs"/>
          <w:rtl/>
        </w:rPr>
        <w:t>וילנא</w:t>
      </w:r>
      <w:proofErr w:type="spellEnd"/>
      <w:r>
        <w:rPr>
          <w:rFonts w:hint="cs"/>
          <w:rtl/>
        </w:rPr>
        <w:t>)</w:t>
      </w:r>
      <w:r w:rsidR="00ED78FC">
        <w:rPr>
          <w:rFonts w:hint="cs"/>
          <w:rtl/>
        </w:rPr>
        <w:t xml:space="preserve"> </w:t>
      </w:r>
      <w:r>
        <w:rPr>
          <w:rFonts w:hint="cs"/>
          <w:rtl/>
        </w:rPr>
        <w:t>ד"ה מה היא</w:t>
      </w:r>
      <w:r w:rsidR="00153FD1">
        <w:rPr>
          <w:rFonts w:hint="cs"/>
          <w:rtl/>
        </w:rPr>
        <w:t xml:space="preserve"> - </w:t>
      </w:r>
      <w:r w:rsidR="00ED78FC">
        <w:rPr>
          <w:rFonts w:hint="cs"/>
          <w:rtl/>
        </w:rPr>
        <w:t>עד "</w:t>
      </w:r>
      <w:proofErr w:type="spellStart"/>
      <w:r w:rsidR="00ED78FC">
        <w:rPr>
          <w:rFonts w:hint="cs"/>
          <w:rtl/>
        </w:rPr>
        <w:t>ותימה</w:t>
      </w:r>
      <w:proofErr w:type="spellEnd"/>
      <w:r w:rsidR="00ED78FC">
        <w:rPr>
          <w:rFonts w:hint="cs"/>
          <w:rtl/>
        </w:rPr>
        <w:t>" [עד סוף הדיבור]</w:t>
      </w:r>
    </w:p>
    <w:p w14:paraId="3C90438F" w14:textId="42AC5364" w:rsidR="00B96131" w:rsidRDefault="00ED78FC" w:rsidP="00ED78FC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B96131">
        <w:rPr>
          <w:rFonts w:hint="cs"/>
          <w:rtl/>
        </w:rPr>
        <w:t xml:space="preserve">תוס' נדה </w:t>
      </w:r>
      <w:proofErr w:type="spellStart"/>
      <w:r w:rsidR="00B96131">
        <w:rPr>
          <w:rFonts w:hint="cs"/>
          <w:rtl/>
        </w:rPr>
        <w:t>עא</w:t>
      </w:r>
      <w:proofErr w:type="spellEnd"/>
      <w:r w:rsidR="00B96131">
        <w:rPr>
          <w:rFonts w:hint="cs"/>
          <w:rtl/>
        </w:rPr>
        <w:t>: ד"ה מערה</w:t>
      </w:r>
      <w:r>
        <w:rPr>
          <w:rFonts w:hint="cs"/>
          <w:rtl/>
        </w:rPr>
        <w:t xml:space="preserve">, </w:t>
      </w:r>
      <w:r w:rsidR="00B96131">
        <w:rPr>
          <w:rFonts w:hint="cs"/>
          <w:rtl/>
        </w:rPr>
        <w:t>ר"ש כלים א:ג ד"ה משכב תחתון כעליון</w:t>
      </w:r>
      <w:r>
        <w:rPr>
          <w:rFonts w:hint="cs"/>
          <w:rtl/>
        </w:rPr>
        <w:t>]</w:t>
      </w:r>
    </w:p>
    <w:p w14:paraId="0B7718BA" w14:textId="1F94D0A4" w:rsidR="00B96131" w:rsidRDefault="00825430" w:rsidP="00B96131">
      <w:pPr>
        <w:spacing w:after="120"/>
        <w:jc w:val="both"/>
      </w:pPr>
      <w:r>
        <w:rPr>
          <w:rFonts w:hint="cs"/>
          <w:rtl/>
        </w:rPr>
        <w:t>רמב"ם הל' מטמאי משכב ומושב ג:א-ב, [</w:t>
      </w:r>
      <w:proofErr w:type="spellStart"/>
      <w:r>
        <w:rPr>
          <w:rFonts w:hint="cs"/>
          <w:rtl/>
        </w:rPr>
        <w:t>משל"מ</w:t>
      </w:r>
      <w:proofErr w:type="spellEnd"/>
      <w:r>
        <w:rPr>
          <w:rFonts w:hint="cs"/>
          <w:rtl/>
        </w:rPr>
        <w:t xml:space="preserve"> שם] </w:t>
      </w:r>
    </w:p>
    <w:p w14:paraId="2B14E8F7" w14:textId="6C12DF86" w:rsidR="00941C05" w:rsidRPr="00941C05" w:rsidRDefault="00941C05" w:rsidP="00B96131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עי' תוס' עירובין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. ד"ה כל שהזב</w:t>
      </w:r>
      <w:r w:rsidR="00153FD1">
        <w:rPr>
          <w:rFonts w:hint="cs"/>
          <w:rtl/>
        </w:rPr>
        <w:t xml:space="preserve"> -</w:t>
      </w:r>
      <w:r w:rsidR="002A4F41">
        <w:rPr>
          <w:rFonts w:hint="cs"/>
          <w:rtl/>
        </w:rPr>
        <w:t xml:space="preserve"> עד "</w:t>
      </w:r>
      <w:r>
        <w:rPr>
          <w:rFonts w:hint="cs"/>
          <w:rtl/>
        </w:rPr>
        <w:t>דאינו ראוי למשכב ומושב". האם יש קשר בין שיטת ר"ת שם לדין בועל נדה?</w:t>
      </w:r>
    </w:p>
    <w:p w14:paraId="7D45E643" w14:textId="77777777" w:rsidR="00825430" w:rsidRDefault="00825430" w:rsidP="00B96131">
      <w:pPr>
        <w:spacing w:after="120"/>
        <w:jc w:val="both"/>
        <w:rPr>
          <w:rtl/>
        </w:rPr>
      </w:pPr>
    </w:p>
    <w:p w14:paraId="3369EEBC" w14:textId="75227A46" w:rsidR="00B96131" w:rsidRDefault="00B96131" w:rsidP="00B96131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AB6249">
        <w:rPr>
          <w:rFonts w:hint="cs"/>
          <w:rtl/>
        </w:rPr>
        <w:t xml:space="preserve">גמרא </w:t>
      </w:r>
      <w:r>
        <w:rPr>
          <w:rFonts w:hint="cs"/>
          <w:rtl/>
        </w:rPr>
        <w:t>ו: - ז</w:t>
      </w:r>
      <w:r w:rsidR="006819EF">
        <w:rPr>
          <w:rFonts w:hint="cs"/>
          <w:rtl/>
        </w:rPr>
        <w:t>:</w:t>
      </w:r>
      <w:r>
        <w:rPr>
          <w:rFonts w:hint="cs"/>
          <w:rtl/>
        </w:rPr>
        <w:t xml:space="preserve"> "ועד שאתה מפרישו מטומאת ביתו ... </w:t>
      </w:r>
      <w:proofErr w:type="spellStart"/>
      <w:r>
        <w:rPr>
          <w:rFonts w:hint="cs"/>
          <w:rtl/>
        </w:rPr>
        <w:t>דר"ש</w:t>
      </w:r>
      <w:proofErr w:type="spellEnd"/>
      <w:r>
        <w:rPr>
          <w:rFonts w:hint="cs"/>
          <w:rtl/>
        </w:rPr>
        <w:t xml:space="preserve"> סבר טומאה דחויה היא בציבור", </w:t>
      </w:r>
      <w:r w:rsidR="00AB6249">
        <w:rPr>
          <w:rFonts w:hint="cs"/>
          <w:rtl/>
        </w:rPr>
        <w:t>רש"י, תוס'</w:t>
      </w:r>
    </w:p>
    <w:p w14:paraId="157C3E02" w14:textId="77777777" w:rsidR="00215369" w:rsidRDefault="006819EF" w:rsidP="002153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גמרא ח. "נימא הני תנאי כהני תנאי ... </w:t>
      </w:r>
      <w:r>
        <w:rPr>
          <w:rtl/>
        </w:rPr>
        <w:t>ורבי יוסי סבר: לא אמרינן טבילה בזמנה מצוה</w:t>
      </w:r>
      <w:r>
        <w:rPr>
          <w:rFonts w:hint="cs"/>
          <w:rtl/>
        </w:rPr>
        <w:t>", רש"י, תוס'</w:t>
      </w:r>
    </w:p>
    <w:p w14:paraId="3714CB15" w14:textId="54B736DC" w:rsidR="00215369" w:rsidRDefault="00215369" w:rsidP="002153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</w:t>
      </w:r>
      <w:r w:rsidR="002A4F41">
        <w:rPr>
          <w:rFonts w:hint="cs"/>
          <w:rtl/>
        </w:rPr>
        <w:t xml:space="preserve">דין </w:t>
      </w:r>
      <w:r w:rsidR="005C7C21">
        <w:rPr>
          <w:rFonts w:hint="cs"/>
          <w:rtl/>
        </w:rPr>
        <w:t>דחיית טומאה תלוי בקרבן ציבור או בקביעות זמן?</w:t>
      </w:r>
    </w:p>
    <w:p w14:paraId="1C81435E" w14:textId="68F04BC9" w:rsidR="002A4F41" w:rsidRDefault="005C7C21" w:rsidP="002153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תמורה יד. "יש </w:t>
      </w:r>
      <w:proofErr w:type="spellStart"/>
      <w:r>
        <w:rPr>
          <w:rFonts w:hint="cs"/>
          <w:rtl/>
        </w:rPr>
        <w:t>בקרבנות</w:t>
      </w:r>
      <w:proofErr w:type="spellEnd"/>
      <w:r>
        <w:rPr>
          <w:rFonts w:hint="cs"/>
          <w:rtl/>
        </w:rPr>
        <w:t xml:space="preserve"> הציבור ...", </w:t>
      </w:r>
      <w:r w:rsidR="002A4F41">
        <w:rPr>
          <w:rFonts w:hint="cs"/>
          <w:rtl/>
        </w:rPr>
        <w:t xml:space="preserve">רמב"ם פירוש המשנה </w:t>
      </w:r>
      <w:r w:rsidR="002A4F41">
        <w:rPr>
          <w:rFonts w:hint="cs"/>
          <w:rtl/>
        </w:rPr>
        <w:t>שם</w:t>
      </w:r>
      <w:r w:rsidR="002A4F41">
        <w:rPr>
          <w:rFonts w:hint="cs"/>
          <w:rtl/>
        </w:rPr>
        <w:t xml:space="preserve"> "</w:t>
      </w:r>
      <w:r w:rsidR="002A4F41">
        <w:rPr>
          <w:rtl/>
        </w:rPr>
        <w:t>והטעם שאמר ר' מאיר טעם נכון כללי ואין חולק בכך</w:t>
      </w:r>
      <w:r w:rsidR="002A4F41">
        <w:rPr>
          <w:rFonts w:hint="cs"/>
          <w:rtl/>
        </w:rPr>
        <w:t>"</w:t>
      </w:r>
    </w:p>
    <w:p w14:paraId="35D37A9F" w14:textId="1F084D11" w:rsidR="002A4F41" w:rsidRDefault="005C7C21" w:rsidP="00215369">
      <w:pPr>
        <w:spacing w:after="120"/>
        <w:jc w:val="both"/>
      </w:pPr>
      <w:r>
        <w:rPr>
          <w:rFonts w:hint="cs"/>
          <w:rtl/>
        </w:rPr>
        <w:t>גמרא יומא נ. "</w:t>
      </w:r>
      <w:proofErr w:type="spellStart"/>
      <w:r>
        <w:rPr>
          <w:rFonts w:hint="cs"/>
          <w:rtl/>
        </w:rPr>
        <w:t>ותיפוק</w:t>
      </w:r>
      <w:proofErr w:type="spellEnd"/>
      <w:r>
        <w:rPr>
          <w:rFonts w:hint="cs"/>
          <w:rtl/>
        </w:rPr>
        <w:t xml:space="preserve"> ליה ... ואפילו בצבור"</w:t>
      </w:r>
    </w:p>
    <w:p w14:paraId="15043D9F" w14:textId="77777777" w:rsidR="002A4F41" w:rsidRDefault="005C7C21" w:rsidP="002153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סנהדרין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: ד"ה שטומאה</w:t>
      </w:r>
    </w:p>
    <w:p w14:paraId="6B3E3DF0" w14:textId="3F7FA5CC" w:rsidR="005C7C21" w:rsidRDefault="002A4F41" w:rsidP="002A4F41">
      <w:pPr>
        <w:spacing w:after="120"/>
        <w:jc w:val="both"/>
      </w:pPr>
      <w:r>
        <w:rPr>
          <w:rFonts w:hint="cs"/>
          <w:rtl/>
        </w:rPr>
        <w:t>רמב"ם ביאת מקדש ד:ט-י</w:t>
      </w:r>
    </w:p>
    <w:p w14:paraId="4FC670B5" w14:textId="6598530E" w:rsidR="002A4F41" w:rsidRDefault="002A4F41" w:rsidP="002A4F4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חי' </w:t>
      </w:r>
      <w:proofErr w:type="spellStart"/>
      <w:r>
        <w:rPr>
          <w:rFonts w:hint="cs"/>
          <w:rtl/>
        </w:rPr>
        <w:t>הגרי"ז</w:t>
      </w:r>
      <w:proofErr w:type="spellEnd"/>
      <w:r>
        <w:rPr>
          <w:rFonts w:hint="cs"/>
          <w:rtl/>
        </w:rPr>
        <w:t xml:space="preserve"> זבחים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דיש שני דינים בהותרה</w:t>
      </w:r>
      <w:r>
        <w:rPr>
          <w:rFonts w:hint="cs"/>
          <w:rtl/>
        </w:rPr>
        <w:t xml:space="preserve"> ... </w:t>
      </w:r>
      <w:r>
        <w:rPr>
          <w:rtl/>
        </w:rPr>
        <w:t>דין היתר בפני עצמו</w:t>
      </w:r>
      <w:r>
        <w:rPr>
          <w:rFonts w:hint="cs"/>
          <w:rtl/>
        </w:rPr>
        <w:t>"</w:t>
      </w:r>
    </w:p>
    <w:p w14:paraId="28060515" w14:textId="77777777" w:rsidR="001C2185" w:rsidRDefault="002A4F41" w:rsidP="002A4F41">
      <w:pPr>
        <w:spacing w:after="120"/>
        <w:jc w:val="both"/>
        <w:rPr>
          <w:rtl/>
        </w:rPr>
      </w:pPr>
      <w:r>
        <w:rPr>
          <w:rFonts w:hint="cs"/>
          <w:rtl/>
        </w:rPr>
        <w:t>מה המקור לדין דחיית טומאה</w:t>
      </w:r>
      <w:r w:rsidR="001C2185">
        <w:rPr>
          <w:rFonts w:hint="cs"/>
          <w:rtl/>
        </w:rPr>
        <w:t xml:space="preserve"> בקרבן ציבור? </w:t>
      </w:r>
    </w:p>
    <w:p w14:paraId="1FB735A7" w14:textId="0D1220EA" w:rsidR="002A4F41" w:rsidRDefault="001C2185" w:rsidP="002A4F4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פסחים </w:t>
      </w:r>
      <w:proofErr w:type="spellStart"/>
      <w:r>
        <w:rPr>
          <w:rFonts w:hint="cs"/>
          <w:rtl/>
        </w:rPr>
        <w:t>סו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>"אשכחן תמיד ופסח ... אלא עבדי בטומאה", שם עז. "</w:t>
      </w:r>
      <w:proofErr w:type="spellStart"/>
      <w:r w:rsidR="00CE1582">
        <w:rPr>
          <w:rFonts w:hint="cs"/>
          <w:rtl/>
        </w:rPr>
        <w:t>למימרא</w:t>
      </w:r>
      <w:proofErr w:type="spellEnd"/>
      <w:r w:rsidR="00CE1582">
        <w:rPr>
          <w:rFonts w:hint="cs"/>
          <w:rtl/>
        </w:rPr>
        <w:t xml:space="preserve"> </w:t>
      </w:r>
      <w:proofErr w:type="spellStart"/>
      <w:r w:rsidR="00CE1582">
        <w:rPr>
          <w:rFonts w:hint="cs"/>
          <w:rtl/>
        </w:rPr>
        <w:t>דכולהו</w:t>
      </w:r>
      <w:proofErr w:type="spellEnd"/>
      <w:r w:rsidR="00CE1582">
        <w:rPr>
          <w:rFonts w:hint="cs"/>
          <w:rtl/>
        </w:rPr>
        <w:t xml:space="preserve"> ממועד ... מועד אחד לכולן"</w:t>
      </w:r>
    </w:p>
    <w:p w14:paraId="0B856217" w14:textId="72D9A7E2" w:rsidR="00CE1582" w:rsidRDefault="00CE1582" w:rsidP="002A4F4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[תוס' פסחים </w:t>
      </w:r>
      <w:proofErr w:type="spellStart"/>
      <w:r>
        <w:rPr>
          <w:rFonts w:hint="cs"/>
          <w:rtl/>
        </w:rPr>
        <w:t>סו</w:t>
      </w:r>
      <w:proofErr w:type="spellEnd"/>
      <w:r>
        <w:rPr>
          <w:rFonts w:hint="cs"/>
          <w:rtl/>
        </w:rPr>
        <w:t>: ד"ה מה מועדו, גמ' מנחות עב:</w:t>
      </w:r>
      <w:r>
        <w:rPr>
          <w:rFonts w:hint="cs"/>
        </w:rPr>
        <w:t xml:space="preserve"> </w:t>
      </w:r>
      <w:r>
        <w:rPr>
          <w:rFonts w:hint="cs"/>
          <w:rtl/>
        </w:rPr>
        <w:t>"והתניא רבי אומר ... מועד לכולן", תוס' שם ד"ה שנאמר]</w:t>
      </w:r>
    </w:p>
    <w:p w14:paraId="37DE4D2D" w14:textId="5D5874BA" w:rsidR="002A4F41" w:rsidRDefault="00F70947" w:rsidP="002A4F4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[רמב"ם ביאת מקדש ד:יב-טו, </w:t>
      </w:r>
      <w:proofErr w:type="spellStart"/>
      <w:r>
        <w:rPr>
          <w:rFonts w:hint="cs"/>
          <w:rtl/>
        </w:rPr>
        <w:t>רדב"ז</w:t>
      </w:r>
      <w:proofErr w:type="spellEnd"/>
      <w:r>
        <w:rPr>
          <w:rFonts w:hint="cs"/>
          <w:rtl/>
        </w:rPr>
        <w:t xml:space="preserve"> שם ד"ה היו כו', מאירי יומא ו: ד"ה קרבן הצבור. מה סברת הרמב"ם?</w:t>
      </w:r>
      <w:r w:rsidR="00153FD1">
        <w:rPr>
          <w:rFonts w:hint="cs"/>
          <w:rtl/>
        </w:rPr>
        <w:t xml:space="preserve"> עי' </w:t>
      </w:r>
      <w:proofErr w:type="spellStart"/>
      <w:r w:rsidR="00153FD1">
        <w:rPr>
          <w:rFonts w:hint="cs"/>
          <w:rtl/>
        </w:rPr>
        <w:t>קהלות</w:t>
      </w:r>
      <w:proofErr w:type="spellEnd"/>
      <w:r w:rsidR="00153FD1">
        <w:rPr>
          <w:rFonts w:hint="cs"/>
          <w:rtl/>
        </w:rPr>
        <w:t xml:space="preserve"> יעקב יומא סימן ב ד"ה ובעיקר הדבר</w:t>
      </w:r>
      <w:r>
        <w:rPr>
          <w:rFonts w:hint="cs"/>
          <w:rtl/>
        </w:rPr>
        <w:t>]</w:t>
      </w:r>
    </w:p>
    <w:p w14:paraId="6063BDB7" w14:textId="2B15FB7C" w:rsidR="00670A0C" w:rsidRDefault="00670A0C" w:rsidP="00B96131">
      <w:pPr>
        <w:spacing w:after="120"/>
        <w:jc w:val="both"/>
        <w:rPr>
          <w:rtl/>
        </w:rPr>
      </w:pPr>
    </w:p>
    <w:p w14:paraId="055D9BCB" w14:textId="732E62C1" w:rsidR="00153FD1" w:rsidRDefault="00153FD1" w:rsidP="00B96131">
      <w:pPr>
        <w:spacing w:after="120"/>
        <w:jc w:val="both"/>
        <w:rPr>
          <w:rtl/>
        </w:rPr>
      </w:pPr>
    </w:p>
    <w:p w14:paraId="558F862A" w14:textId="77777777" w:rsidR="00153FD1" w:rsidRDefault="00153FD1" w:rsidP="00B96131">
      <w:pPr>
        <w:spacing w:after="120"/>
        <w:jc w:val="both"/>
        <w:rPr>
          <w:rtl/>
        </w:rPr>
      </w:pPr>
    </w:p>
    <w:p w14:paraId="3B733AF4" w14:textId="53F10859" w:rsidR="00752DAD" w:rsidRDefault="00752DAD" w:rsidP="00C33486">
      <w:pPr>
        <w:spacing w:after="120"/>
        <w:jc w:val="both"/>
      </w:pPr>
    </w:p>
    <w:p w14:paraId="2CFF595A" w14:textId="77777777" w:rsidR="00752DAD" w:rsidRPr="001A3505" w:rsidRDefault="00752DAD" w:rsidP="00C33486">
      <w:pPr>
        <w:spacing w:after="120"/>
        <w:jc w:val="both"/>
        <w:rPr>
          <w:rtl/>
        </w:rPr>
      </w:pPr>
    </w:p>
    <w:p w14:paraId="32DFE79C" w14:textId="2411D1F2" w:rsidR="00BD00C7" w:rsidRPr="00BD00C7" w:rsidRDefault="00BD00C7" w:rsidP="009B5AA3">
      <w:pPr>
        <w:jc w:val="both"/>
        <w:rPr>
          <w:u w:val="single"/>
        </w:rPr>
      </w:pPr>
      <w:r w:rsidRPr="00BD00C7">
        <w:rPr>
          <w:rFonts w:hint="cs"/>
          <w:u w:val="single"/>
          <w:rtl/>
        </w:rPr>
        <w:lastRenderedPageBreak/>
        <w:t>פירוש הראב"ד על מסכת תמיד פרק א</w:t>
      </w:r>
    </w:p>
    <w:p w14:paraId="266DAA60" w14:textId="6F9E9C52" w:rsidR="009B5AA3" w:rsidRPr="009B5AA3" w:rsidRDefault="009B5AA3" w:rsidP="009B5AA3">
      <w:pPr>
        <w:jc w:val="both"/>
      </w:pPr>
      <w:r w:rsidRPr="009B5AA3">
        <w:rPr>
          <w:rtl/>
        </w:rPr>
        <w:t xml:space="preserve">ולשכת </w:t>
      </w:r>
      <w:proofErr w:type="spellStart"/>
      <w:r w:rsidRPr="009B5AA3">
        <w:rPr>
          <w:rtl/>
        </w:rPr>
        <w:t>פרהדרין</w:t>
      </w:r>
      <w:proofErr w:type="spellEnd"/>
      <w:r w:rsidRPr="009B5AA3">
        <w:rPr>
          <w:rtl/>
        </w:rPr>
        <w:t xml:space="preserve"> הואיל ואתא לידן נפרש ביה מילתא כי היכי דלא תקשי לן ההיא </w:t>
      </w:r>
      <w:proofErr w:type="spellStart"/>
      <w:r w:rsidRPr="009B5AA3">
        <w:rPr>
          <w:rtl/>
        </w:rPr>
        <w:t>מסקנא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דמסכת</w:t>
      </w:r>
      <w:proofErr w:type="spellEnd"/>
      <w:r w:rsidRPr="009B5AA3">
        <w:rPr>
          <w:rtl/>
        </w:rPr>
        <w:t xml:space="preserve"> יומא גופיה מפיק </w:t>
      </w:r>
      <w:proofErr w:type="spellStart"/>
      <w:r w:rsidRPr="009B5AA3">
        <w:rPr>
          <w:rtl/>
        </w:rPr>
        <w:t>מברייתא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דכולהו</w:t>
      </w:r>
      <w:proofErr w:type="spellEnd"/>
      <w:r w:rsidRPr="009B5AA3">
        <w:rPr>
          <w:rtl/>
        </w:rPr>
        <w:t xml:space="preserve"> שערים שהיו שם לא היה להם מזוזה חוץ משער </w:t>
      </w:r>
      <w:proofErr w:type="spellStart"/>
      <w:r w:rsidRPr="009B5AA3">
        <w:rPr>
          <w:rtl/>
        </w:rPr>
        <w:t>נקנור</w:t>
      </w:r>
      <w:proofErr w:type="spellEnd"/>
      <w:r w:rsidRPr="009B5AA3">
        <w:rPr>
          <w:rtl/>
        </w:rPr>
        <w:t xml:space="preserve"> שלפנים ממנו לשכת </w:t>
      </w:r>
      <w:proofErr w:type="spellStart"/>
      <w:r w:rsidRPr="009B5AA3">
        <w:rPr>
          <w:rtl/>
        </w:rPr>
        <w:t>פרהדרין</w:t>
      </w:r>
      <w:proofErr w:type="spellEnd"/>
      <w:r w:rsidRPr="009B5AA3">
        <w:rPr>
          <w:rtl/>
        </w:rPr>
        <w:t xml:space="preserve"> דהיינו משמע השתא במזרח הוה קיימא לשכת </w:t>
      </w:r>
      <w:proofErr w:type="spellStart"/>
      <w:r w:rsidRPr="009B5AA3">
        <w:rPr>
          <w:rtl/>
        </w:rPr>
        <w:t>פרהדרין</w:t>
      </w:r>
      <w:proofErr w:type="spellEnd"/>
      <w:r w:rsidRPr="009B5AA3">
        <w:rPr>
          <w:rtl/>
        </w:rPr>
        <w:t xml:space="preserve"> ולא היא אף על גב </w:t>
      </w:r>
      <w:proofErr w:type="spellStart"/>
      <w:r w:rsidRPr="009B5AA3">
        <w:rPr>
          <w:rtl/>
        </w:rPr>
        <w:t>דקא</w:t>
      </w:r>
      <w:proofErr w:type="spellEnd"/>
      <w:r w:rsidRPr="009B5AA3">
        <w:rPr>
          <w:rtl/>
        </w:rPr>
        <w:t xml:space="preserve"> מסיק כהאי לישנא שלפנים ממנו לשכות </w:t>
      </w:r>
      <w:proofErr w:type="spellStart"/>
      <w:r w:rsidRPr="009B5AA3">
        <w:rPr>
          <w:rtl/>
        </w:rPr>
        <w:t>פרהדרין</w:t>
      </w:r>
      <w:proofErr w:type="spellEnd"/>
      <w:r w:rsidRPr="009B5AA3">
        <w:rPr>
          <w:rtl/>
        </w:rPr>
        <w:t xml:space="preserve"> לאו </w:t>
      </w:r>
      <w:proofErr w:type="spellStart"/>
      <w:r w:rsidRPr="009B5AA3">
        <w:rPr>
          <w:rtl/>
        </w:rPr>
        <w:t>דוקא</w:t>
      </w:r>
      <w:proofErr w:type="spellEnd"/>
      <w:r w:rsidRPr="009B5AA3">
        <w:rPr>
          <w:rtl/>
        </w:rPr>
        <w:t xml:space="preserve"> ממש במזרח אלא או בצפון או בדרום אלא שזה שער </w:t>
      </w:r>
      <w:proofErr w:type="spellStart"/>
      <w:r w:rsidRPr="009B5AA3">
        <w:rPr>
          <w:rtl/>
        </w:rPr>
        <w:t>הנקנור</w:t>
      </w:r>
      <w:proofErr w:type="spellEnd"/>
      <w:r w:rsidRPr="009B5AA3">
        <w:rPr>
          <w:rtl/>
        </w:rPr>
        <w:t xml:space="preserve"> היה סמוך יותר משאר שערים וכשהיה רוצה כהן לכנס ללשכת </w:t>
      </w:r>
      <w:proofErr w:type="spellStart"/>
      <w:r w:rsidRPr="009B5AA3">
        <w:rPr>
          <w:rtl/>
        </w:rPr>
        <w:t>פרהדרין</w:t>
      </w:r>
      <w:proofErr w:type="spellEnd"/>
      <w:r w:rsidRPr="009B5AA3">
        <w:rPr>
          <w:rtl/>
        </w:rPr>
        <w:t xml:space="preserve"> לא היה נכנס ויוצא כאחד זה השער היה נכנס ויוצא ולקודש </w:t>
      </w:r>
      <w:proofErr w:type="spellStart"/>
      <w:r w:rsidRPr="009B5AA3">
        <w:rPr>
          <w:rtl/>
        </w:rPr>
        <w:t>היתה</w:t>
      </w:r>
      <w:proofErr w:type="spellEnd"/>
      <w:r w:rsidRPr="009B5AA3">
        <w:rPr>
          <w:rtl/>
        </w:rPr>
        <w:t xml:space="preserve"> פתוחה וכשהיה משכים לעמוד </w:t>
      </w:r>
      <w:proofErr w:type="spellStart"/>
      <w:r w:rsidRPr="009B5AA3">
        <w:rPr>
          <w:rtl/>
        </w:rPr>
        <w:t>להסך</w:t>
      </w:r>
      <w:proofErr w:type="spellEnd"/>
      <w:r w:rsidRPr="009B5AA3">
        <w:rPr>
          <w:rtl/>
        </w:rPr>
        <w:t xml:space="preserve"> רגליו היה יוצא חוץ לחומת העזרה </w:t>
      </w:r>
      <w:proofErr w:type="spellStart"/>
      <w:r w:rsidRPr="009B5AA3">
        <w:rPr>
          <w:rtl/>
        </w:rPr>
        <w:t>ומסיך</w:t>
      </w:r>
      <w:proofErr w:type="spellEnd"/>
      <w:r w:rsidRPr="009B5AA3">
        <w:rPr>
          <w:rtl/>
        </w:rPr>
        <w:t xml:space="preserve"> רגליו ואזיל </w:t>
      </w:r>
      <w:proofErr w:type="spellStart"/>
      <w:r w:rsidRPr="009B5AA3">
        <w:rPr>
          <w:rtl/>
        </w:rPr>
        <w:t>וטביל</w:t>
      </w:r>
      <w:proofErr w:type="spellEnd"/>
      <w:r w:rsidRPr="009B5AA3">
        <w:rPr>
          <w:rtl/>
        </w:rPr>
        <w:t xml:space="preserve"> בשער המים </w:t>
      </w:r>
      <w:proofErr w:type="spellStart"/>
      <w:r w:rsidRPr="009B5AA3">
        <w:rPr>
          <w:rtl/>
        </w:rPr>
        <w:t>שהיתה</w:t>
      </w:r>
      <w:proofErr w:type="spellEnd"/>
      <w:r w:rsidRPr="009B5AA3">
        <w:rPr>
          <w:rtl/>
        </w:rPr>
        <w:t xml:space="preserve"> בחול ונכנס לעזרה ללמוד חפינה.</w:t>
      </w:r>
    </w:p>
    <w:p w14:paraId="582DE78F" w14:textId="77777777" w:rsidR="009B5AA3" w:rsidRPr="009B5AA3" w:rsidRDefault="009B5AA3" w:rsidP="009B5AA3">
      <w:pPr>
        <w:jc w:val="both"/>
      </w:pPr>
      <w:r w:rsidRPr="009B5AA3">
        <w:rPr>
          <w:rtl/>
        </w:rPr>
        <w:t xml:space="preserve">וא"ת כיון </w:t>
      </w:r>
      <w:proofErr w:type="spellStart"/>
      <w:r w:rsidRPr="009B5AA3">
        <w:rPr>
          <w:rtl/>
        </w:rPr>
        <w:t>שהיתה</w:t>
      </w:r>
      <w:proofErr w:type="spellEnd"/>
      <w:r w:rsidRPr="009B5AA3">
        <w:rPr>
          <w:rtl/>
        </w:rPr>
        <w:t xml:space="preserve"> פתוחה [לקדש] הרי היא </w:t>
      </w:r>
      <w:proofErr w:type="spellStart"/>
      <w:r w:rsidRPr="009B5AA3">
        <w:rPr>
          <w:rtl/>
        </w:rPr>
        <w:t>היתה</w:t>
      </w:r>
      <w:proofErr w:type="spellEnd"/>
      <w:r w:rsidRPr="009B5AA3">
        <w:rPr>
          <w:rtl/>
        </w:rPr>
        <w:t xml:space="preserve"> קודש ואין ישיבה בעזרה וכ"ש שאין ישנים </w:t>
      </w:r>
      <w:proofErr w:type="spellStart"/>
      <w:r w:rsidRPr="009B5AA3">
        <w:rPr>
          <w:rtl/>
        </w:rPr>
        <w:t>והאיך</w:t>
      </w:r>
      <w:proofErr w:type="spellEnd"/>
      <w:r w:rsidRPr="009B5AA3">
        <w:rPr>
          <w:rtl/>
        </w:rPr>
        <w:t xml:space="preserve"> היה </w:t>
      </w:r>
      <w:proofErr w:type="spellStart"/>
      <w:r w:rsidRPr="009B5AA3">
        <w:rPr>
          <w:rtl/>
        </w:rPr>
        <w:t>כה"ג</w:t>
      </w:r>
      <w:proofErr w:type="spellEnd"/>
      <w:r w:rsidRPr="009B5AA3">
        <w:rPr>
          <w:rtl/>
        </w:rPr>
        <w:t xml:space="preserve"> יכול אפילו לשבת בה ולא </w:t>
      </w:r>
      <w:proofErr w:type="spellStart"/>
      <w:r w:rsidRPr="009B5AA3">
        <w:rPr>
          <w:rtl/>
        </w:rPr>
        <w:t>מבעיא</w:t>
      </w:r>
      <w:proofErr w:type="spellEnd"/>
      <w:r w:rsidRPr="009B5AA3">
        <w:rPr>
          <w:rtl/>
        </w:rPr>
        <w:t xml:space="preserve"> לישן. הא כבר אמרינן היכי דלא אפשר שפיר דמי אלא כך משמע </w:t>
      </w:r>
      <w:proofErr w:type="spellStart"/>
      <w:r w:rsidRPr="009B5AA3">
        <w:rPr>
          <w:rtl/>
        </w:rPr>
        <w:t>שכה"ג</w:t>
      </w:r>
      <w:proofErr w:type="spellEnd"/>
      <w:r w:rsidRPr="009B5AA3">
        <w:rPr>
          <w:rtl/>
        </w:rPr>
        <w:t xml:space="preserve"> היה צריך להיות פורש למקום הקודש </w:t>
      </w:r>
      <w:proofErr w:type="spellStart"/>
      <w:r w:rsidRPr="009B5AA3">
        <w:rPr>
          <w:rtl/>
        </w:rPr>
        <w:t>דומיא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דמלואים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דכתיב</w:t>
      </w:r>
      <w:proofErr w:type="spellEnd"/>
      <w:r w:rsidRPr="009B5AA3">
        <w:rPr>
          <w:rtl/>
        </w:rPr>
        <w:t xml:space="preserve"> ז' ימים תשבו יומם וגו' ומשום דלא אפשר (נמי) היה [שרי] כשעת </w:t>
      </w:r>
      <w:proofErr w:type="spellStart"/>
      <w:r w:rsidRPr="009B5AA3">
        <w:rPr>
          <w:rtl/>
        </w:rPr>
        <w:t>מלואים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דכתיב</w:t>
      </w:r>
      <w:proofErr w:type="spellEnd"/>
      <w:r w:rsidRPr="009B5AA3">
        <w:rPr>
          <w:rtl/>
        </w:rPr>
        <w:t xml:space="preserve"> נמי שם תשבו. אף על פי שבעזרה היה </w:t>
      </w:r>
      <w:proofErr w:type="spellStart"/>
      <w:r w:rsidRPr="009B5AA3">
        <w:rPr>
          <w:rtl/>
        </w:rPr>
        <w:t>כדכתיב</w:t>
      </w:r>
      <w:proofErr w:type="spellEnd"/>
      <w:r w:rsidRPr="009B5AA3">
        <w:rPr>
          <w:rtl/>
        </w:rPr>
        <w:t xml:space="preserve"> ופתח אהל מועד וכן במשכן נמי הוה שומרים בעזרה </w:t>
      </w:r>
      <w:proofErr w:type="spellStart"/>
      <w:r w:rsidRPr="009B5AA3">
        <w:rPr>
          <w:rtl/>
        </w:rPr>
        <w:t>כדאיתא</w:t>
      </w:r>
      <w:proofErr w:type="spellEnd"/>
      <w:r w:rsidRPr="009B5AA3">
        <w:rPr>
          <w:rtl/>
        </w:rPr>
        <w:t xml:space="preserve"> בספרי ואתה ובניך [אתך] לפני אהל מועד וגו'. הכהנים מבפנים ולוים מבחוץ כמו שכתב </w:t>
      </w:r>
      <w:proofErr w:type="spellStart"/>
      <w:r w:rsidRPr="009B5AA3">
        <w:rPr>
          <w:rtl/>
        </w:rPr>
        <w:t>הר"ש</w:t>
      </w:r>
      <w:proofErr w:type="spellEnd"/>
      <w:r w:rsidRPr="009B5AA3">
        <w:rPr>
          <w:rtl/>
        </w:rPr>
        <w:t xml:space="preserve"> ז"ל בפתרונו.</w:t>
      </w:r>
    </w:p>
    <w:p w14:paraId="74194C1C" w14:textId="77777777" w:rsidR="009B5AA3" w:rsidRPr="009B5AA3" w:rsidRDefault="009B5AA3" w:rsidP="009B5AA3">
      <w:pPr>
        <w:jc w:val="both"/>
      </w:pPr>
      <w:r w:rsidRPr="009B5AA3">
        <w:rPr>
          <w:rtl/>
        </w:rPr>
        <w:t xml:space="preserve">אלא שהוא כתב כל דבר שהוא צורך שמירה או עבודה שרי אבל שאין צורך שמירה וחינוך עבודה כגון קריאת פרשת המלך וקריאת פרשה ביום הכיפורים לא מצי </w:t>
      </w:r>
      <w:proofErr w:type="spellStart"/>
      <w:r w:rsidRPr="009B5AA3">
        <w:rPr>
          <w:rtl/>
        </w:rPr>
        <w:t>למיתב</w:t>
      </w:r>
      <w:proofErr w:type="spellEnd"/>
      <w:r w:rsidRPr="009B5AA3">
        <w:rPr>
          <w:rtl/>
        </w:rPr>
        <w:t xml:space="preserve"> דהתם במסכת סוטה פ' אלו נאמרים פריך אגריפס המלך </w:t>
      </w:r>
      <w:proofErr w:type="spellStart"/>
      <w:r w:rsidRPr="009B5AA3">
        <w:rPr>
          <w:rtl/>
        </w:rPr>
        <w:t>האיך</w:t>
      </w:r>
      <w:proofErr w:type="spellEnd"/>
      <w:r w:rsidRPr="009B5AA3">
        <w:rPr>
          <w:rtl/>
        </w:rPr>
        <w:t xml:space="preserve"> הוה יתיב והאמר אין ישיבה בעזרה וקשה לי על זה הפירוש מפרק שני </w:t>
      </w:r>
      <w:proofErr w:type="spellStart"/>
      <w:r w:rsidRPr="009B5AA3">
        <w:rPr>
          <w:rtl/>
        </w:rPr>
        <w:t>דמסכת</w:t>
      </w:r>
      <w:proofErr w:type="spellEnd"/>
      <w:r w:rsidRPr="009B5AA3">
        <w:rPr>
          <w:rtl/>
        </w:rPr>
        <w:t xml:space="preserve"> יומא </w:t>
      </w:r>
      <w:proofErr w:type="spellStart"/>
      <w:r w:rsidRPr="009B5AA3">
        <w:rPr>
          <w:rtl/>
        </w:rPr>
        <w:t>דתני</w:t>
      </w:r>
      <w:proofErr w:type="spellEnd"/>
      <w:r w:rsidRPr="009B5AA3">
        <w:rPr>
          <w:rtl/>
        </w:rPr>
        <w:t xml:space="preserve"> התם גבי פייס זקן יושב במערבה </w:t>
      </w:r>
      <w:proofErr w:type="spellStart"/>
      <w:r w:rsidRPr="009B5AA3">
        <w:rPr>
          <w:rtl/>
        </w:rPr>
        <w:t>דהיכי</w:t>
      </w:r>
      <w:proofErr w:type="spellEnd"/>
      <w:r w:rsidRPr="009B5AA3">
        <w:rPr>
          <w:rtl/>
        </w:rPr>
        <w:t xml:space="preserve"> הוה יתיב אין ישיבה בעזרה ואף על גב דהתם נמי לצורך העבודה הוא הפייס.</w:t>
      </w:r>
    </w:p>
    <w:p w14:paraId="0989D559" w14:textId="77777777" w:rsidR="009B5AA3" w:rsidRPr="009B5AA3" w:rsidRDefault="009B5AA3" w:rsidP="009B5AA3">
      <w:pPr>
        <w:jc w:val="both"/>
      </w:pPr>
      <w:r w:rsidRPr="009B5AA3">
        <w:rPr>
          <w:rtl/>
        </w:rPr>
        <w:t xml:space="preserve">לפיכך תסתיים </w:t>
      </w:r>
      <w:proofErr w:type="spellStart"/>
      <w:r w:rsidRPr="009B5AA3">
        <w:rPr>
          <w:rtl/>
        </w:rPr>
        <w:t>כדפרשתי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דבהא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תליא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דכל</w:t>
      </w:r>
      <w:proofErr w:type="spellEnd"/>
      <w:r w:rsidRPr="009B5AA3">
        <w:rPr>
          <w:rtl/>
        </w:rPr>
        <w:t xml:space="preserve"> היכי דלא אפשר בענין אחר לעשות דבר הצריך בעזרה אלא א"כ בישיבה מותר לעשות לכל אדם כגון פרישת </w:t>
      </w:r>
      <w:proofErr w:type="spellStart"/>
      <w:r w:rsidRPr="009B5AA3">
        <w:rPr>
          <w:rtl/>
        </w:rPr>
        <w:t>מלואים</w:t>
      </w:r>
      <w:proofErr w:type="spellEnd"/>
      <w:r w:rsidRPr="009B5AA3">
        <w:rPr>
          <w:rtl/>
        </w:rPr>
        <w:t xml:space="preserve"> </w:t>
      </w:r>
      <w:proofErr w:type="spellStart"/>
      <w:r w:rsidRPr="009B5AA3">
        <w:rPr>
          <w:rtl/>
        </w:rPr>
        <w:t>וכה"ג</w:t>
      </w:r>
      <w:proofErr w:type="spellEnd"/>
      <w:r w:rsidRPr="009B5AA3">
        <w:rPr>
          <w:rtl/>
        </w:rPr>
        <w:t xml:space="preserve"> בכל שנה קודם יוה"כ ושמירת הכהנים בבית המוקד ובבית </w:t>
      </w:r>
      <w:proofErr w:type="spellStart"/>
      <w:r w:rsidRPr="009B5AA3">
        <w:rPr>
          <w:rtl/>
        </w:rPr>
        <w:t>אבטינס</w:t>
      </w:r>
      <w:proofErr w:type="spellEnd"/>
      <w:r w:rsidRPr="009B5AA3">
        <w:rPr>
          <w:rtl/>
        </w:rPr>
        <w:t xml:space="preserve"> וכן כל כיוצא בזה שצריך לעשות במקום קודש וא"א לעמוד ולעשות אבל כל מה שיוכל לעשות בעמידה כגון קריאת המלך ופרשת </w:t>
      </w:r>
      <w:proofErr w:type="spellStart"/>
      <w:r w:rsidRPr="009B5AA3">
        <w:rPr>
          <w:rtl/>
        </w:rPr>
        <w:t>כה"ג</w:t>
      </w:r>
      <w:proofErr w:type="spellEnd"/>
      <w:r w:rsidRPr="009B5AA3">
        <w:rPr>
          <w:rtl/>
        </w:rPr>
        <w:t xml:space="preserve"> ביוה"כ התם וודאי לא הותר אלא למלכי בית דוד בלבד.</w:t>
      </w:r>
    </w:p>
    <w:p w14:paraId="38FDF125" w14:textId="2E5B8243" w:rsidR="00BD00C7" w:rsidRDefault="009B5AA3" w:rsidP="00DD5DC0">
      <w:pPr>
        <w:jc w:val="both"/>
      </w:pPr>
      <w:proofErr w:type="spellStart"/>
      <w:r w:rsidRPr="009B5AA3">
        <w:rPr>
          <w:rtl/>
        </w:rPr>
        <w:t>מיהא</w:t>
      </w:r>
      <w:proofErr w:type="spellEnd"/>
      <w:r w:rsidRPr="009B5AA3">
        <w:rPr>
          <w:rtl/>
        </w:rPr>
        <w:t xml:space="preserve"> בירושלמי משמע </w:t>
      </w:r>
      <w:proofErr w:type="spellStart"/>
      <w:r w:rsidRPr="009B5AA3">
        <w:rPr>
          <w:rtl/>
        </w:rPr>
        <w:t>שכה"ג</w:t>
      </w:r>
      <w:proofErr w:type="spellEnd"/>
      <w:r w:rsidRPr="009B5AA3">
        <w:rPr>
          <w:rtl/>
        </w:rPr>
        <w:t xml:space="preserve"> נמי יש לו ישיבה בעזרה כמו למלכי בית דוד ומביא ראיה מעלי </w:t>
      </w:r>
      <w:proofErr w:type="spellStart"/>
      <w:r w:rsidRPr="009B5AA3">
        <w:rPr>
          <w:rtl/>
        </w:rPr>
        <w:t>דכתיב</w:t>
      </w:r>
      <w:proofErr w:type="spellEnd"/>
      <w:r w:rsidRPr="009B5AA3">
        <w:rPr>
          <w:rtl/>
        </w:rPr>
        <w:t xml:space="preserve"> ועלי הכהן יושב על </w:t>
      </w:r>
      <w:proofErr w:type="spellStart"/>
      <w:r w:rsidRPr="009B5AA3">
        <w:rPr>
          <w:rtl/>
        </w:rPr>
        <w:t>כסא</w:t>
      </w:r>
      <w:proofErr w:type="spellEnd"/>
      <w:r w:rsidRPr="009B5AA3">
        <w:rPr>
          <w:rtl/>
        </w:rPr>
        <w:t xml:space="preserve"> על מזוזת היכל ה' וגו' ובירושלמי </w:t>
      </w:r>
      <w:proofErr w:type="spellStart"/>
      <w:r w:rsidRPr="009B5AA3">
        <w:rPr>
          <w:rtl/>
        </w:rPr>
        <w:t>דמסכת</w:t>
      </w:r>
      <w:proofErr w:type="spellEnd"/>
      <w:r w:rsidRPr="009B5AA3">
        <w:rPr>
          <w:rtl/>
        </w:rPr>
        <w:t xml:space="preserve"> יומא </w:t>
      </w:r>
      <w:proofErr w:type="spellStart"/>
      <w:r w:rsidRPr="009B5AA3">
        <w:rPr>
          <w:rtl/>
        </w:rPr>
        <w:t>בפ</w:t>
      </w:r>
      <w:proofErr w:type="spellEnd"/>
      <w:r w:rsidRPr="009B5AA3">
        <w:rPr>
          <w:rtl/>
        </w:rPr>
        <w:t xml:space="preserve">' אמר להם הממונה ובפרק אלו נאמרים בסוטה פליגי </w:t>
      </w:r>
      <w:proofErr w:type="spellStart"/>
      <w:r w:rsidRPr="009B5AA3">
        <w:rPr>
          <w:rtl/>
        </w:rPr>
        <w:t>דאפי</w:t>
      </w:r>
      <w:proofErr w:type="spellEnd"/>
      <w:r w:rsidRPr="009B5AA3">
        <w:rPr>
          <w:rtl/>
        </w:rPr>
        <w:t xml:space="preserve">' למלכי בית דוד לא היה ישיבה בעזרה </w:t>
      </w:r>
      <w:proofErr w:type="spellStart"/>
      <w:r w:rsidRPr="009B5AA3">
        <w:rPr>
          <w:rtl/>
        </w:rPr>
        <w:t>וקא</w:t>
      </w:r>
      <w:proofErr w:type="spellEnd"/>
      <w:r w:rsidRPr="009B5AA3">
        <w:rPr>
          <w:rtl/>
        </w:rPr>
        <w:t xml:space="preserve"> פריך התם והא כתיב וישב דוד לפני ה' משמע לפני ה' ומשני שישב עצמו בתפלה וההיא </w:t>
      </w:r>
      <w:proofErr w:type="spellStart"/>
      <w:r w:rsidRPr="009B5AA3">
        <w:rPr>
          <w:rtl/>
        </w:rPr>
        <w:t>דמסכת</w:t>
      </w:r>
      <w:proofErr w:type="spellEnd"/>
      <w:r w:rsidRPr="009B5AA3">
        <w:rPr>
          <w:rtl/>
        </w:rPr>
        <w:t xml:space="preserve"> סוטה </w:t>
      </w:r>
      <w:proofErr w:type="spellStart"/>
      <w:r w:rsidRPr="009B5AA3">
        <w:rPr>
          <w:rtl/>
        </w:rPr>
        <w:t>קא</w:t>
      </w:r>
      <w:proofErr w:type="spellEnd"/>
      <w:r w:rsidRPr="009B5AA3">
        <w:rPr>
          <w:rtl/>
        </w:rPr>
        <w:t xml:space="preserve"> משני </w:t>
      </w:r>
      <w:proofErr w:type="spellStart"/>
      <w:r w:rsidRPr="009B5AA3">
        <w:rPr>
          <w:rtl/>
        </w:rPr>
        <w:t>תפתר</w:t>
      </w:r>
      <w:proofErr w:type="spellEnd"/>
      <w:r w:rsidRPr="009B5AA3">
        <w:rPr>
          <w:rtl/>
        </w:rPr>
        <w:t xml:space="preserve"> שסמוך עצמו לכותל.</w:t>
      </w:r>
    </w:p>
    <w:p w14:paraId="07A105FB" w14:textId="476F2628" w:rsidR="005C7C21" w:rsidRDefault="005C7C21" w:rsidP="00DD5DC0">
      <w:pPr>
        <w:jc w:val="both"/>
      </w:pPr>
    </w:p>
    <w:p w14:paraId="4F3F1790" w14:textId="77777777" w:rsidR="005C7C21" w:rsidRPr="005C7C21" w:rsidRDefault="005C7C21" w:rsidP="005C7C21">
      <w:pPr>
        <w:jc w:val="both"/>
        <w:rPr>
          <w:u w:val="single"/>
          <w:rtl/>
        </w:rPr>
      </w:pPr>
      <w:r w:rsidRPr="005C7C21">
        <w:rPr>
          <w:u w:val="single"/>
          <w:rtl/>
        </w:rPr>
        <w:t xml:space="preserve">חידושי </w:t>
      </w:r>
      <w:proofErr w:type="spellStart"/>
      <w:r w:rsidRPr="005C7C21">
        <w:rPr>
          <w:u w:val="single"/>
          <w:rtl/>
        </w:rPr>
        <w:t>הגרי"ז</w:t>
      </w:r>
      <w:proofErr w:type="spellEnd"/>
      <w:r w:rsidRPr="005C7C21">
        <w:rPr>
          <w:u w:val="single"/>
          <w:rtl/>
        </w:rPr>
        <w:t xml:space="preserve"> מסכת זבחים דף </w:t>
      </w:r>
      <w:proofErr w:type="spellStart"/>
      <w:r w:rsidRPr="005C7C21">
        <w:rPr>
          <w:u w:val="single"/>
          <w:rtl/>
        </w:rPr>
        <w:t>טז</w:t>
      </w:r>
      <w:proofErr w:type="spellEnd"/>
      <w:r w:rsidRPr="005C7C21">
        <w:rPr>
          <w:u w:val="single"/>
          <w:rtl/>
        </w:rPr>
        <w:t xml:space="preserve"> עמוד ב</w:t>
      </w:r>
    </w:p>
    <w:p w14:paraId="4277C4A8" w14:textId="77777777" w:rsidR="005C7C21" w:rsidRDefault="005C7C21" w:rsidP="005C7C21">
      <w:pPr>
        <w:jc w:val="both"/>
        <w:rPr>
          <w:rtl/>
        </w:rPr>
      </w:pPr>
      <w:r>
        <w:rPr>
          <w:rtl/>
        </w:rPr>
        <w:t xml:space="preserve">גמ' מה </w:t>
      </w:r>
      <w:proofErr w:type="spellStart"/>
      <w:r>
        <w:rPr>
          <w:rtl/>
        </w:rPr>
        <w:t>להצד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השוה</w:t>
      </w:r>
      <w:proofErr w:type="spellEnd"/>
      <w:r>
        <w:rPr>
          <w:rtl/>
        </w:rPr>
        <w:t xml:space="preserve"> שבהן שכן לא הותרו מכללן אצל </w:t>
      </w:r>
      <w:proofErr w:type="spellStart"/>
      <w:r>
        <w:rPr>
          <w:rtl/>
        </w:rPr>
        <w:t>כה"ג</w:t>
      </w:r>
      <w:proofErr w:type="spellEnd"/>
      <w:r>
        <w:rPr>
          <w:rtl/>
        </w:rPr>
        <w:t xml:space="preserve"> בקרבן יחיד, שם טומאה </w:t>
      </w:r>
      <w:proofErr w:type="spellStart"/>
      <w:r>
        <w:rPr>
          <w:rtl/>
        </w:rPr>
        <w:t>מיהא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אישתראי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ופירש"י</w:t>
      </w:r>
      <w:proofErr w:type="spellEnd"/>
      <w:r>
        <w:rPr>
          <w:rtl/>
        </w:rPr>
        <w:t xml:space="preserve"> (בד"ה שם טומאה) </w:t>
      </w:r>
      <w:proofErr w:type="spellStart"/>
      <w:r>
        <w:rPr>
          <w:rtl/>
        </w:rPr>
        <w:t>דלהכי</w:t>
      </w:r>
      <w:proofErr w:type="spellEnd"/>
      <w:r>
        <w:rPr>
          <w:rtl/>
        </w:rPr>
        <w:t xml:space="preserve"> מוכיח הגמרא מטמא שהותר בציבור ולא הוכיחו מזר אף </w:t>
      </w:r>
      <w:proofErr w:type="spellStart"/>
      <w:r>
        <w:rPr>
          <w:rtl/>
        </w:rPr>
        <w:t>דזר</w:t>
      </w:r>
      <w:proofErr w:type="spellEnd"/>
      <w:r>
        <w:rPr>
          <w:rtl/>
        </w:rPr>
        <w:t xml:space="preserve"> הותר בבמה דזה לא מיקרי הותר מכללו </w:t>
      </w:r>
      <w:proofErr w:type="spellStart"/>
      <w:r>
        <w:rPr>
          <w:rtl/>
        </w:rPr>
        <w:t>דבבמה</w:t>
      </w:r>
      <w:proofErr w:type="spellEnd"/>
      <w:r>
        <w:rPr>
          <w:rtl/>
        </w:rPr>
        <w:t xml:space="preserve"> לא נאסר מעולם זר, </w:t>
      </w:r>
      <w:proofErr w:type="spellStart"/>
      <w:r>
        <w:rPr>
          <w:rtl/>
        </w:rPr>
        <w:t>ובתוס</w:t>
      </w:r>
      <w:proofErr w:type="spellEnd"/>
      <w:r>
        <w:rPr>
          <w:rtl/>
        </w:rPr>
        <w:t xml:space="preserve">' (בד"ה שכן) הקשו </w:t>
      </w:r>
      <w:proofErr w:type="spellStart"/>
      <w:r>
        <w:rPr>
          <w:rtl/>
        </w:rPr>
        <w:t>דבהקומץ</w:t>
      </w:r>
      <w:proofErr w:type="spellEnd"/>
      <w:r>
        <w:rPr>
          <w:rtl/>
        </w:rPr>
        <w:t xml:space="preserve"> רבה אמרינן </w:t>
      </w:r>
      <w:proofErr w:type="spellStart"/>
      <w:r>
        <w:rPr>
          <w:rtl/>
        </w:rPr>
        <w:t>דיוצא</w:t>
      </w:r>
      <w:proofErr w:type="spellEnd"/>
      <w:r>
        <w:rPr>
          <w:rtl/>
        </w:rPr>
        <w:t xml:space="preserve"> מיקרי הותר מכללו </w:t>
      </w:r>
      <w:proofErr w:type="spellStart"/>
      <w:r>
        <w:rPr>
          <w:rtl/>
        </w:rPr>
        <w:t>דמותר</w:t>
      </w:r>
      <w:proofErr w:type="spellEnd"/>
      <w:r>
        <w:rPr>
          <w:rtl/>
        </w:rPr>
        <w:t xml:space="preserve"> בבמה, והנראה </w:t>
      </w:r>
      <w:proofErr w:type="spellStart"/>
      <w:r>
        <w:rPr>
          <w:rtl/>
        </w:rPr>
        <w:t>בכונת</w:t>
      </w:r>
      <w:proofErr w:type="spellEnd"/>
      <w:r>
        <w:rPr>
          <w:rtl/>
        </w:rPr>
        <w:t xml:space="preserve"> רש"י </w:t>
      </w:r>
      <w:proofErr w:type="spellStart"/>
      <w:r>
        <w:rPr>
          <w:rtl/>
        </w:rPr>
        <w:t>דלהכי</w:t>
      </w:r>
      <w:proofErr w:type="spellEnd"/>
      <w:r>
        <w:rPr>
          <w:rtl/>
        </w:rPr>
        <w:t xml:space="preserve"> לא מיקרי זר הותר מכללו </w:t>
      </w:r>
      <w:proofErr w:type="spellStart"/>
      <w:r>
        <w:rPr>
          <w:rtl/>
        </w:rPr>
        <w:t>דמשום</w:t>
      </w:r>
      <w:proofErr w:type="spellEnd"/>
      <w:r>
        <w:rPr>
          <w:rtl/>
        </w:rPr>
        <w:t xml:space="preserve"> מה שאין בבמה כל דיני הכהונה הוא משום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הדינים נאמרו לפני ה' ובמה לא הוי לפני ה', ממילא לא נקרא הותר </w:t>
      </w:r>
      <w:proofErr w:type="spellStart"/>
      <w:r>
        <w:rPr>
          <w:rtl/>
        </w:rPr>
        <w:t>דבבמה</w:t>
      </w:r>
      <w:proofErr w:type="spellEnd"/>
      <w:r>
        <w:rPr>
          <w:rtl/>
        </w:rPr>
        <w:t xml:space="preserve"> לא נאמרו כל הדינים, אבל מה שנקרא יוצא הותר מכללו הוא משום גופא </w:t>
      </w:r>
      <w:proofErr w:type="spellStart"/>
      <w:r>
        <w:rPr>
          <w:rtl/>
        </w:rPr>
        <w:t>דהיתרא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דבמה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שחזינן</w:t>
      </w:r>
      <w:proofErr w:type="spellEnd"/>
      <w:r>
        <w:rPr>
          <w:rtl/>
        </w:rPr>
        <w:t xml:space="preserve"> שהתירה התורה הקרבה בחוץ, אבל ממה שבבמה לית בה דין </w:t>
      </w:r>
      <w:proofErr w:type="spellStart"/>
      <w:r>
        <w:rPr>
          <w:rtl/>
        </w:rPr>
        <w:t>דיוצא</w:t>
      </w:r>
      <w:proofErr w:type="spellEnd"/>
      <w:r>
        <w:rPr>
          <w:rtl/>
        </w:rPr>
        <w:t xml:space="preserve"> לא הוי נקרא הותר מכללו.</w:t>
      </w:r>
    </w:p>
    <w:p w14:paraId="0E179A4F" w14:textId="07C0369A" w:rsidR="005C7C21" w:rsidRPr="009B5AA3" w:rsidRDefault="005C7C21" w:rsidP="005C7C21">
      <w:pPr>
        <w:jc w:val="both"/>
      </w:pPr>
      <w:r>
        <w:rPr>
          <w:rtl/>
        </w:rPr>
        <w:t xml:space="preserve">והנה מאי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בגמרא טמא יוכיח </w:t>
      </w:r>
      <w:proofErr w:type="spellStart"/>
      <w:r>
        <w:rPr>
          <w:rtl/>
        </w:rPr>
        <w:t>דהותר</w:t>
      </w:r>
      <w:proofErr w:type="spellEnd"/>
      <w:r>
        <w:rPr>
          <w:rtl/>
        </w:rPr>
        <w:t xml:space="preserve"> מכללו אצל קרבן ציבור נראה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מהדין של הותרה בציבור עושה הגמרא יוכיח, דיש שני דינים בהותרה, בקבוע להם זמן ובקרבן ציבור, והנה אם ציבור הוא דין היתר בפ"ע או </w:t>
      </w:r>
      <w:proofErr w:type="spellStart"/>
      <w:r>
        <w:rPr>
          <w:rtl/>
        </w:rPr>
        <w:t>דנכלל</w:t>
      </w:r>
      <w:proofErr w:type="spellEnd"/>
      <w:r>
        <w:rPr>
          <w:rtl/>
        </w:rPr>
        <w:t xml:space="preserve"> ג"כ בדין </w:t>
      </w:r>
      <w:proofErr w:type="spellStart"/>
      <w:r>
        <w:rPr>
          <w:rtl/>
        </w:rPr>
        <w:t>דקבוע</w:t>
      </w:r>
      <w:proofErr w:type="spellEnd"/>
      <w:r>
        <w:rPr>
          <w:rtl/>
        </w:rPr>
        <w:t xml:space="preserve"> לו זמן, נראה להוכיח </w:t>
      </w:r>
      <w:proofErr w:type="spellStart"/>
      <w:r>
        <w:rPr>
          <w:rtl/>
        </w:rPr>
        <w:t>מיומא</w:t>
      </w:r>
      <w:proofErr w:type="spellEnd"/>
      <w:r>
        <w:rPr>
          <w:rtl/>
        </w:rPr>
        <w:t xml:space="preserve"> (דף ו' ע"ב </w:t>
      </w:r>
      <w:proofErr w:type="spellStart"/>
      <w:r>
        <w:rPr>
          <w:rtl/>
        </w:rPr>
        <w:t>בתוד"ה</w:t>
      </w:r>
      <w:proofErr w:type="spellEnd"/>
      <w:r>
        <w:rPr>
          <w:rtl/>
        </w:rPr>
        <w:t xml:space="preserve"> אמר) </w:t>
      </w:r>
      <w:proofErr w:type="spellStart"/>
      <w:r>
        <w:rPr>
          <w:rtl/>
        </w:rPr>
        <w:t>דציבור</w:t>
      </w:r>
      <w:proofErr w:type="spellEnd"/>
      <w:r>
        <w:rPr>
          <w:rtl/>
        </w:rPr>
        <w:t xml:space="preserve"> הוא היתר בפני עצמו, </w:t>
      </w:r>
      <w:proofErr w:type="spellStart"/>
      <w:r>
        <w:rPr>
          <w:rtl/>
        </w:rPr>
        <w:t>דמבואר</w:t>
      </w:r>
      <w:proofErr w:type="spellEnd"/>
      <w:r>
        <w:rPr>
          <w:rtl/>
        </w:rPr>
        <w:t xml:space="preserve"> שם </w:t>
      </w:r>
      <w:proofErr w:type="spellStart"/>
      <w:r>
        <w:rPr>
          <w:rtl/>
        </w:rPr>
        <w:t>דבציבור</w:t>
      </w:r>
      <w:proofErr w:type="spellEnd"/>
      <w:r>
        <w:rPr>
          <w:rtl/>
        </w:rPr>
        <w:t xml:space="preserve"> הוא מדין הותרה ובקבוע לו זמן הוי רק דיחוי, </w:t>
      </w:r>
      <w:proofErr w:type="spellStart"/>
      <w:r>
        <w:rPr>
          <w:rtl/>
        </w:rPr>
        <w:t>ועיי"ש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(דף ז' ע"ב ד"ה כיון)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דהחילוק</w:t>
      </w:r>
      <w:proofErr w:type="spellEnd"/>
      <w:r>
        <w:rPr>
          <w:rtl/>
        </w:rPr>
        <w:t xml:space="preserve"> הוא רק מדרבנן, אמנם ממה שהקשה שם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בסתירת דברי רבא מזבחים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דדיחוי</w:t>
      </w:r>
      <w:proofErr w:type="spellEnd"/>
      <w:r>
        <w:rPr>
          <w:rtl/>
        </w:rPr>
        <w:t xml:space="preserve"> משמע </w:t>
      </w:r>
      <w:proofErr w:type="spellStart"/>
      <w:r>
        <w:rPr>
          <w:rtl/>
        </w:rPr>
        <w:t>דהחילוק</w:t>
      </w:r>
      <w:proofErr w:type="spellEnd"/>
      <w:r>
        <w:rPr>
          <w:rtl/>
        </w:rPr>
        <w:t xml:space="preserve"> הוא מדאורייתא, וא"כ יש לציבור דין היתר בפני עצמו, ונראה דהכא היוכיח הוא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מציבור דהוי היתר בטומאה ולכך מיקרי הותר מכללו, אבל מדין </w:t>
      </w:r>
      <w:proofErr w:type="spellStart"/>
      <w:r>
        <w:rPr>
          <w:rtl/>
        </w:rPr>
        <w:t>דקבוע</w:t>
      </w:r>
      <w:proofErr w:type="spellEnd"/>
      <w:r>
        <w:rPr>
          <w:rtl/>
        </w:rPr>
        <w:t xml:space="preserve"> לו זמן דהוי רק דיחוי לא שייך להוכיח, דזה לא מיקרי הותר מכללו, כיון דהוי מדין דיחוי, </w:t>
      </w:r>
      <w:proofErr w:type="spellStart"/>
      <w:r>
        <w:rPr>
          <w:rtl/>
        </w:rPr>
        <w:t>דבטומאה</w:t>
      </w:r>
      <w:proofErr w:type="spellEnd"/>
      <w:r>
        <w:rPr>
          <w:rtl/>
        </w:rPr>
        <w:t xml:space="preserve"> נדחית הוא רק דין דחויה ולא שייך </w:t>
      </w:r>
      <w:proofErr w:type="spellStart"/>
      <w:r>
        <w:rPr>
          <w:rtl/>
        </w:rPr>
        <w:t>להותר</w:t>
      </w:r>
      <w:proofErr w:type="spellEnd"/>
      <w:r>
        <w:rPr>
          <w:rtl/>
        </w:rPr>
        <w:t xml:space="preserve"> מכללו </w:t>
      </w:r>
      <w:proofErr w:type="spellStart"/>
      <w:r>
        <w:rPr>
          <w:rtl/>
        </w:rPr>
        <w:t>ודו"ק</w:t>
      </w:r>
      <w:proofErr w:type="spellEnd"/>
      <w:r>
        <w:rPr>
          <w:rtl/>
        </w:rPr>
        <w:t>.</w:t>
      </w:r>
    </w:p>
    <w:sectPr w:rsidR="005C7C21" w:rsidRPr="009B5AA3" w:rsidSect="0015582F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464D" w14:textId="77777777" w:rsidR="00C04A4A" w:rsidRDefault="00C04A4A">
      <w:r>
        <w:separator/>
      </w:r>
    </w:p>
  </w:endnote>
  <w:endnote w:type="continuationSeparator" w:id="0">
    <w:p w14:paraId="6694F7AF" w14:textId="77777777" w:rsidR="00C04A4A" w:rsidRDefault="00C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975C" w14:textId="77777777" w:rsidR="00C04A4A" w:rsidRDefault="00C04A4A">
      <w:r>
        <w:separator/>
      </w:r>
    </w:p>
  </w:footnote>
  <w:footnote w:type="continuationSeparator" w:id="0">
    <w:p w14:paraId="08D34F14" w14:textId="77777777" w:rsidR="00C04A4A" w:rsidRDefault="00C0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81C"/>
    <w:rsid w:val="00070B34"/>
    <w:rsid w:val="000711CA"/>
    <w:rsid w:val="000717A7"/>
    <w:rsid w:val="0007193B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773"/>
    <w:rsid w:val="00153ABF"/>
    <w:rsid w:val="00153D52"/>
    <w:rsid w:val="00153FD1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15B8"/>
    <w:rsid w:val="001715F5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572"/>
    <w:rsid w:val="001F76DA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5C8"/>
    <w:rsid w:val="00227B8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6693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AB9"/>
    <w:rsid w:val="002D4BD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FFE"/>
    <w:rsid w:val="003749EF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7C4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5240"/>
    <w:rsid w:val="00466021"/>
    <w:rsid w:val="004663FB"/>
    <w:rsid w:val="00467281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742"/>
    <w:rsid w:val="00490E0E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135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B4B"/>
    <w:rsid w:val="00612DC7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244A"/>
    <w:rsid w:val="0064337C"/>
    <w:rsid w:val="006433CA"/>
    <w:rsid w:val="00643ADB"/>
    <w:rsid w:val="00644148"/>
    <w:rsid w:val="00644197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D2"/>
    <w:rsid w:val="0081608D"/>
    <w:rsid w:val="00816A45"/>
    <w:rsid w:val="008172EF"/>
    <w:rsid w:val="008175F2"/>
    <w:rsid w:val="0081784F"/>
    <w:rsid w:val="00817D99"/>
    <w:rsid w:val="008202DF"/>
    <w:rsid w:val="008208E7"/>
    <w:rsid w:val="008210AD"/>
    <w:rsid w:val="00821509"/>
    <w:rsid w:val="00821C01"/>
    <w:rsid w:val="00822179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E69"/>
    <w:rsid w:val="00837989"/>
    <w:rsid w:val="008400CE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14F7"/>
    <w:rsid w:val="00861AC9"/>
    <w:rsid w:val="00861B71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51B7"/>
    <w:rsid w:val="008C57CA"/>
    <w:rsid w:val="008C5E5D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56C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45DD"/>
    <w:rsid w:val="008F58F1"/>
    <w:rsid w:val="008F5C06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AE5"/>
    <w:rsid w:val="00915C77"/>
    <w:rsid w:val="00915F35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5DD"/>
    <w:rsid w:val="009B6E5F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1502"/>
    <w:rsid w:val="00AC1FD5"/>
    <w:rsid w:val="00AC247A"/>
    <w:rsid w:val="00AC2AB3"/>
    <w:rsid w:val="00AC2B3E"/>
    <w:rsid w:val="00AC2B76"/>
    <w:rsid w:val="00AC30D8"/>
    <w:rsid w:val="00AC31AD"/>
    <w:rsid w:val="00AC36BC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2062"/>
    <w:rsid w:val="00AE22D8"/>
    <w:rsid w:val="00AE31DB"/>
    <w:rsid w:val="00AE3442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390"/>
    <w:rsid w:val="00B15B5D"/>
    <w:rsid w:val="00B161D8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205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4074"/>
    <w:rsid w:val="00BC412A"/>
    <w:rsid w:val="00BC44FF"/>
    <w:rsid w:val="00BC4809"/>
    <w:rsid w:val="00BC5144"/>
    <w:rsid w:val="00BC51E7"/>
    <w:rsid w:val="00BC5629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2BF"/>
    <w:rsid w:val="00BE0DBE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A4A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6E1"/>
    <w:rsid w:val="00C13275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23B"/>
    <w:rsid w:val="00CC6098"/>
    <w:rsid w:val="00CC615F"/>
    <w:rsid w:val="00CC653C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42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A03"/>
    <w:rsid w:val="00D64D8D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D50"/>
    <w:rsid w:val="00DC4F37"/>
    <w:rsid w:val="00DC4FD6"/>
    <w:rsid w:val="00DC5129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6A0"/>
    <w:rsid w:val="00DD5014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B6A"/>
    <w:rsid w:val="00E5120A"/>
    <w:rsid w:val="00E514CA"/>
    <w:rsid w:val="00E5166D"/>
    <w:rsid w:val="00E51843"/>
    <w:rsid w:val="00E51879"/>
    <w:rsid w:val="00E51D95"/>
    <w:rsid w:val="00E51EC0"/>
    <w:rsid w:val="00E52A02"/>
    <w:rsid w:val="00E530D6"/>
    <w:rsid w:val="00E531E1"/>
    <w:rsid w:val="00E534C9"/>
    <w:rsid w:val="00E5362E"/>
    <w:rsid w:val="00E5422B"/>
    <w:rsid w:val="00E54649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75F"/>
    <w:rsid w:val="00EB4F13"/>
    <w:rsid w:val="00EB4F59"/>
    <w:rsid w:val="00EB4F5A"/>
    <w:rsid w:val="00EB5DD1"/>
    <w:rsid w:val="00EB5ED3"/>
    <w:rsid w:val="00EB6A2F"/>
    <w:rsid w:val="00EB7262"/>
    <w:rsid w:val="00EC0351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5D32"/>
    <w:rsid w:val="00EC658A"/>
    <w:rsid w:val="00EC6AA5"/>
    <w:rsid w:val="00EC6C19"/>
    <w:rsid w:val="00EC6F55"/>
    <w:rsid w:val="00EC6F7D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947"/>
    <w:rsid w:val="00F70E2D"/>
    <w:rsid w:val="00F7189C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E97"/>
    <w:rsid w:val="00FB1FE0"/>
    <w:rsid w:val="00FB21BE"/>
    <w:rsid w:val="00FB241D"/>
    <w:rsid w:val="00FB2493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AE"/>
    <w:rsid w:val="00FE5CF5"/>
    <w:rsid w:val="00FE702C"/>
    <w:rsid w:val="00FF08D0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A221-8CBA-429B-BCCA-ADE9B63D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3</cp:revision>
  <cp:lastPrinted>2020-07-02T05:54:00Z</cp:lastPrinted>
  <dcterms:created xsi:type="dcterms:W3CDTF">2020-07-25T22:53:00Z</dcterms:created>
  <dcterms:modified xsi:type="dcterms:W3CDTF">2020-07-25T23:10:00Z</dcterms:modified>
</cp:coreProperties>
</file>