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4B" w:rsidRPr="004E602A" w:rsidRDefault="001B374B" w:rsidP="00504043">
      <w:pPr>
        <w:pStyle w:val="NoSpacing"/>
        <w:numPr>
          <w:ilvl w:val="0"/>
          <w:numId w:val="1"/>
        </w:numPr>
        <w:bidi/>
        <w:ind w:left="27"/>
        <w:rPr>
          <w:b/>
          <w:bCs/>
          <w:sz w:val="20"/>
          <w:szCs w:val="20"/>
          <w:u w:val="single"/>
        </w:rPr>
      </w:pPr>
      <w:r w:rsidRPr="004E602A">
        <w:rPr>
          <w:b/>
          <w:bCs/>
          <w:sz w:val="20"/>
          <w:szCs w:val="20"/>
          <w:u w:val="single"/>
          <w:rtl/>
        </w:rPr>
        <w:t>תלמוד בבלי מסכת ברכות דף כ עמוד ב</w:t>
      </w:r>
    </w:p>
    <w:p w:rsidR="00C35C46" w:rsidRPr="004E602A" w:rsidRDefault="001B374B" w:rsidP="00504043">
      <w:pPr>
        <w:pStyle w:val="NoSpacing"/>
        <w:bidi/>
        <w:ind w:left="27"/>
        <w:rPr>
          <w:sz w:val="20"/>
          <w:szCs w:val="20"/>
        </w:rPr>
      </w:pPr>
      <w:r w:rsidRPr="004E602A">
        <w:rPr>
          <w:sz w:val="20"/>
          <w:szCs w:val="20"/>
          <w:rtl/>
        </w:rPr>
        <w:t>וחייבין בתפילה ובמזוזה ובברכת המזון</w:t>
      </w:r>
      <w:r w:rsidRPr="004E602A">
        <w:rPr>
          <w:sz w:val="20"/>
          <w:szCs w:val="20"/>
        </w:rPr>
        <w:t>.</w:t>
      </w:r>
    </w:p>
    <w:p w:rsidR="001B374B" w:rsidRPr="004E602A" w:rsidRDefault="001B374B" w:rsidP="00504043">
      <w:pPr>
        <w:pStyle w:val="NoSpacing"/>
        <w:bidi/>
        <w:ind w:left="27"/>
        <w:rPr>
          <w:sz w:val="20"/>
          <w:szCs w:val="20"/>
        </w:rPr>
      </w:pPr>
      <w:r w:rsidRPr="004E602A">
        <w:rPr>
          <w:sz w:val="20"/>
          <w:szCs w:val="20"/>
          <w:rtl/>
        </w:rPr>
        <w:t>אמר ליה רבינא לרבא: נשים בברכת המזון, דאורייתא או דרבנן? למאי נפקא מינה - לאפוקי רבים ידי חובתן. אי אמרת (בשלמא) דאורייתא - אתי דאורייתא ומפיק דאורייתא, (אלא אי) +מסורת הש"ס: [ואי]+ אמרת דרבנן - הוי שאינו מחוייב בדבר, וכל שאינו מחוייב בדבר - אינו מוציא את הרבים ידי חובתן. מאי? - תא שמע, באמת אמרו: בן מברך לאביו, ועבד מברך לרבו, ואשה מברכת לבעלה; אבל אמרו חכמים: תבא מארה לאדם שאשתו ובניו מברכין לו. אי אמרת בשלמא דאורייתא - אתי דאורייתא ומפיק דאורייתא, אלא אי אמרת דרבנן - אתי דרבנן ומפיק דאורייתא? - ולטעמיך, קטן בר חיובא הוא? - אלא, הכא במאי עסקינן - כגון שאכל שיעורא דרבנן, דאתי דרבנן ומפיק דרבנן</w:t>
      </w:r>
      <w:r w:rsidRPr="004E602A">
        <w:rPr>
          <w:sz w:val="20"/>
          <w:szCs w:val="20"/>
        </w:rPr>
        <w:t>.</w:t>
      </w:r>
    </w:p>
    <w:p w:rsidR="001B374B" w:rsidRPr="004E602A" w:rsidRDefault="001B374B" w:rsidP="00504043">
      <w:pPr>
        <w:pStyle w:val="NoSpacing"/>
        <w:numPr>
          <w:ilvl w:val="0"/>
          <w:numId w:val="1"/>
        </w:numPr>
        <w:bidi/>
        <w:ind w:left="27"/>
        <w:rPr>
          <w:b/>
          <w:bCs/>
          <w:sz w:val="20"/>
          <w:szCs w:val="20"/>
          <w:u w:val="single"/>
        </w:rPr>
      </w:pPr>
      <w:r w:rsidRPr="004E602A">
        <w:rPr>
          <w:b/>
          <w:bCs/>
          <w:sz w:val="20"/>
          <w:szCs w:val="20"/>
          <w:u w:val="single"/>
          <w:rtl/>
        </w:rPr>
        <w:t>רש"י מסכת ברכות דף כ עמוד ב</w:t>
      </w:r>
    </w:p>
    <w:p w:rsidR="001B374B" w:rsidRPr="004E602A" w:rsidRDefault="001B374B" w:rsidP="00504043">
      <w:pPr>
        <w:pStyle w:val="NoSpacing"/>
        <w:bidi/>
        <w:ind w:left="27"/>
        <w:rPr>
          <w:sz w:val="20"/>
          <w:szCs w:val="20"/>
        </w:rPr>
      </w:pPr>
      <w:r w:rsidRPr="004E602A">
        <w:rPr>
          <w:sz w:val="20"/>
          <w:szCs w:val="20"/>
          <w:rtl/>
        </w:rPr>
        <w:t>נשים בברכת המזון דאורייתא - דכתיב ואכלת ושבעת, (דברים ח') והוה ליה מצות עשה שאין הזמן גרמא</w:t>
      </w:r>
      <w:r w:rsidRPr="004E602A">
        <w:rPr>
          <w:sz w:val="20"/>
          <w:szCs w:val="20"/>
        </w:rPr>
        <w:t>.</w:t>
      </w:r>
    </w:p>
    <w:p w:rsidR="001B374B" w:rsidRPr="004E602A" w:rsidRDefault="001B374B" w:rsidP="00504043">
      <w:pPr>
        <w:pStyle w:val="NoSpacing"/>
        <w:bidi/>
        <w:ind w:left="27"/>
        <w:rPr>
          <w:sz w:val="20"/>
          <w:szCs w:val="20"/>
        </w:rPr>
      </w:pPr>
      <w:r w:rsidRPr="004E602A">
        <w:rPr>
          <w:sz w:val="20"/>
          <w:szCs w:val="20"/>
          <w:rtl/>
        </w:rPr>
        <w:t>או דרבנן - דכתיב על הארץ הטובה אשר נתן לך (דברים ח'), והארץ לא נתנה לנקבות להתחלק, ואי משום בנות צלפחד - חלק אביהם הם דנטלו, שהיה מיוצאי מצרים</w:t>
      </w:r>
      <w:r w:rsidRPr="004E602A">
        <w:rPr>
          <w:sz w:val="20"/>
          <w:szCs w:val="20"/>
        </w:rPr>
        <w:t>.</w:t>
      </w:r>
    </w:p>
    <w:p w:rsidR="001B374B" w:rsidRPr="004E602A" w:rsidRDefault="001B374B" w:rsidP="00504043">
      <w:pPr>
        <w:pStyle w:val="NoSpacing"/>
        <w:numPr>
          <w:ilvl w:val="0"/>
          <w:numId w:val="1"/>
        </w:numPr>
        <w:bidi/>
        <w:ind w:left="27"/>
        <w:rPr>
          <w:b/>
          <w:bCs/>
          <w:sz w:val="20"/>
          <w:szCs w:val="20"/>
          <w:u w:val="single"/>
        </w:rPr>
      </w:pPr>
      <w:r w:rsidRPr="004E602A">
        <w:rPr>
          <w:b/>
          <w:bCs/>
          <w:sz w:val="20"/>
          <w:szCs w:val="20"/>
          <w:u w:val="single"/>
          <w:rtl/>
        </w:rPr>
        <w:t>תוספות מסכת ברכות דף כ עמוד ב</w:t>
      </w:r>
    </w:p>
    <w:p w:rsidR="001B374B" w:rsidRPr="004E602A" w:rsidRDefault="001B374B" w:rsidP="00504043">
      <w:pPr>
        <w:pStyle w:val="NoSpacing"/>
        <w:bidi/>
        <w:ind w:left="27"/>
        <w:rPr>
          <w:sz w:val="20"/>
          <w:szCs w:val="20"/>
        </w:rPr>
      </w:pPr>
      <w:r w:rsidRPr="004E602A">
        <w:rPr>
          <w:sz w:val="20"/>
          <w:szCs w:val="20"/>
          <w:rtl/>
        </w:rPr>
        <w:t>ותימה כהנים ולוים נמי תבעי שהרי לא נטלו חלק בארץ וא"כ לא יוציאו אחרים ידי חובתן בברכת המזון אלא י"ל דטעמא משום דכתיב על בריתך שחתמת בבשרנו ועל תורתך שלמדתנו ונשים ליתנהו לא בברית ולא בתורה ואמרינן לקמן (דף מט.) מי שלא אמר ברית ותורה בברכת המזון לא יצא ידי חובתו והשתא קא מבעיא ליה כיון דלא מצו למימר ברית ותורה לא הוו אלא מדרבנן או דלמא כיון דלא שייך בהו הוי שפיר דאורייתא</w:t>
      </w:r>
    </w:p>
    <w:p w:rsidR="001B374B" w:rsidRPr="004E602A" w:rsidRDefault="001B374B" w:rsidP="00504043">
      <w:pPr>
        <w:pStyle w:val="NoSpacing"/>
        <w:numPr>
          <w:ilvl w:val="0"/>
          <w:numId w:val="1"/>
        </w:numPr>
        <w:bidi/>
        <w:ind w:left="27"/>
        <w:rPr>
          <w:b/>
          <w:bCs/>
          <w:sz w:val="20"/>
          <w:szCs w:val="20"/>
          <w:u w:val="single"/>
        </w:rPr>
      </w:pPr>
      <w:r w:rsidRPr="004E602A">
        <w:rPr>
          <w:b/>
          <w:bCs/>
          <w:sz w:val="20"/>
          <w:szCs w:val="20"/>
          <w:u w:val="single"/>
          <w:rtl/>
        </w:rPr>
        <w:t>חידושי הרשב"א מסכת ברכות דף כ עמוד ב</w:t>
      </w:r>
    </w:p>
    <w:p w:rsidR="001B374B" w:rsidRPr="004E602A" w:rsidRDefault="001B374B" w:rsidP="00504043">
      <w:pPr>
        <w:pStyle w:val="NoSpacing"/>
        <w:bidi/>
        <w:ind w:left="27"/>
        <w:rPr>
          <w:sz w:val="20"/>
          <w:szCs w:val="20"/>
        </w:rPr>
      </w:pPr>
      <w:r w:rsidRPr="004E602A">
        <w:rPr>
          <w:sz w:val="20"/>
          <w:szCs w:val="20"/>
          <w:rtl/>
        </w:rPr>
        <w:t xml:space="preserve">אלא הכא דאכל שיעורא דרבנן דאתי דרבנן ומפיק דרבנן. ולענין פסק הלכה לא קיי"ל כרבינא אלא כרבא דאמר ליה </w:t>
      </w:r>
      <w:bookmarkStart w:id="0" w:name="_GoBack"/>
      <w:bookmarkEnd w:id="0"/>
      <w:r w:rsidRPr="004E602A">
        <w:rPr>
          <w:sz w:val="20"/>
          <w:szCs w:val="20"/>
          <w:rtl/>
        </w:rPr>
        <w:t>דאורייתא, חדא דרבא רביה דרבינא ועוד דאמרינן לעיל וחייבין בברכת המזון פשיטא ואהדרי' מהו דתימא הואיל וכתיב בתת ה' לכם בערב בשר לאכול ולחם בבקר מ"ע שהזמן גרמא היא קמ"ל אלמא מלתא דפשיטותא היא לכולהו דחייבות דאורייתא, וברייתא דקתני אשה מברכת לבעלה אפילו אכל כדי שביעה</w:t>
      </w:r>
    </w:p>
    <w:p w:rsidR="001B374B" w:rsidRPr="004E602A" w:rsidRDefault="001B374B" w:rsidP="00504043">
      <w:pPr>
        <w:pStyle w:val="NoSpacing"/>
        <w:numPr>
          <w:ilvl w:val="0"/>
          <w:numId w:val="1"/>
        </w:numPr>
        <w:bidi/>
        <w:ind w:left="27"/>
        <w:rPr>
          <w:b/>
          <w:bCs/>
          <w:sz w:val="20"/>
          <w:szCs w:val="20"/>
          <w:u w:val="single"/>
        </w:rPr>
      </w:pPr>
      <w:r w:rsidRPr="004E602A">
        <w:rPr>
          <w:b/>
          <w:bCs/>
          <w:sz w:val="20"/>
          <w:szCs w:val="20"/>
          <w:u w:val="single"/>
          <w:rtl/>
        </w:rPr>
        <w:t>בית הבחירה (מאירי) מסכת ברכות דף כ עמוד ב</w:t>
      </w:r>
    </w:p>
    <w:p w:rsidR="001B374B" w:rsidRPr="004E602A" w:rsidRDefault="001B374B" w:rsidP="00504043">
      <w:pPr>
        <w:pStyle w:val="NoSpacing"/>
        <w:bidi/>
        <w:ind w:left="27"/>
        <w:rPr>
          <w:sz w:val="20"/>
          <w:szCs w:val="20"/>
        </w:rPr>
      </w:pPr>
      <w:r w:rsidRPr="004E602A">
        <w:rPr>
          <w:sz w:val="20"/>
          <w:szCs w:val="20"/>
          <w:rtl/>
        </w:rPr>
        <w:t>מה שביארנו במשנה שהנשים חייבות בברכת המזון לא נתבררו הדברים אם חייבות מדברי תורה אם מדברי סופרים שאע"פ שהיא מצות עשה שלא הזמן גרמא מ"מ תלה הכתוב בנחלת הארץ כדכתיב ואכלת ושבעת וברכת וכו' על הארץ וכו' ונשים אין להם חלק בארץ מ"מ נראין הדברים שמן התורה הן חייבות כדין כל מצות עשה שלא הזמן גרמא ואחר שכן אף הן מוציאות את האנשים שכל המחוייב מן התורה מוציא את המחויב מן התורה וכן ראיה לדבר ממה שאמרו בפרק שלשה שאכלו רב לא אמר לא ברית ולא תורה ולא מלכות ברית שאינה בנשים תורה ומלכות שאינה לא בנשים ולא בעבדים ואם אין חייבים מן התורה מאי איכפת ליה ואף על פי שיש מערערין בה מצד שלא הובררה כאן ואין דבר המסתפק במקומו מתברר שלא במקומו אף זו מקומה היא ולא עוד אלא שמצינו הרבה בתלמוד מסופקות במקומן ומתבררות שלא במקומן</w:t>
      </w:r>
    </w:p>
    <w:p w:rsidR="008D1B4B" w:rsidRPr="004E602A" w:rsidRDefault="008D1B4B" w:rsidP="00504043">
      <w:pPr>
        <w:pStyle w:val="NoSpacing"/>
        <w:numPr>
          <w:ilvl w:val="0"/>
          <w:numId w:val="1"/>
        </w:numPr>
        <w:bidi/>
        <w:ind w:left="27"/>
        <w:rPr>
          <w:b/>
          <w:bCs/>
          <w:sz w:val="20"/>
          <w:szCs w:val="20"/>
          <w:u w:val="single"/>
        </w:rPr>
      </w:pPr>
      <w:r w:rsidRPr="004E602A">
        <w:rPr>
          <w:b/>
          <w:bCs/>
          <w:sz w:val="20"/>
          <w:szCs w:val="20"/>
          <w:u w:val="single"/>
          <w:rtl/>
        </w:rPr>
        <w:t>רמב"ם הלכות ברכות פרק ה הלכה א</w:t>
      </w:r>
    </w:p>
    <w:p w:rsidR="008D1B4B" w:rsidRPr="004E602A" w:rsidRDefault="008D1B4B" w:rsidP="00504043">
      <w:pPr>
        <w:pStyle w:val="NoSpacing"/>
        <w:bidi/>
        <w:ind w:left="27"/>
        <w:rPr>
          <w:sz w:val="20"/>
          <w:szCs w:val="20"/>
        </w:rPr>
      </w:pPr>
      <w:r w:rsidRPr="004E602A">
        <w:rPr>
          <w:sz w:val="20"/>
          <w:szCs w:val="20"/>
          <w:rtl/>
        </w:rPr>
        <w:t>נשים ועבדים חייבין בברכת המזון, וספק יש בדבר אם הן חייבין מן התורה לפי שאין קבוע לה זמן או אינם חייבין מן התורה, לפיכך אין מוציאין את הגדולים ידי חובתן, אבל הקטנים חייבין בברכת המזון מדברי סופרים כדי לחנכן במצות</w:t>
      </w:r>
      <w:r w:rsidRPr="004E602A">
        <w:rPr>
          <w:sz w:val="20"/>
          <w:szCs w:val="20"/>
        </w:rPr>
        <w:t>.</w:t>
      </w:r>
    </w:p>
    <w:p w:rsidR="008D1B4B" w:rsidRPr="004E602A" w:rsidRDefault="008D1B4B" w:rsidP="00504043">
      <w:pPr>
        <w:pStyle w:val="NoSpacing"/>
        <w:numPr>
          <w:ilvl w:val="0"/>
          <w:numId w:val="1"/>
        </w:numPr>
        <w:bidi/>
        <w:ind w:left="27"/>
        <w:rPr>
          <w:b/>
          <w:bCs/>
          <w:sz w:val="20"/>
          <w:szCs w:val="20"/>
          <w:u w:val="single"/>
        </w:rPr>
      </w:pPr>
      <w:r w:rsidRPr="004E602A">
        <w:rPr>
          <w:b/>
          <w:bCs/>
          <w:sz w:val="20"/>
          <w:szCs w:val="20"/>
          <w:u w:val="single"/>
          <w:rtl/>
        </w:rPr>
        <w:t>רשימות שיעורים (רי"ד סולובייצ'יק) מסכת ברכות דף כ עמוד ב</w:t>
      </w:r>
    </w:p>
    <w:p w:rsidR="008D1B4B" w:rsidRPr="004E602A" w:rsidRDefault="008D1B4B" w:rsidP="00504043">
      <w:pPr>
        <w:pStyle w:val="NoSpacing"/>
        <w:bidi/>
        <w:ind w:left="27"/>
        <w:rPr>
          <w:sz w:val="20"/>
          <w:szCs w:val="20"/>
        </w:rPr>
      </w:pPr>
      <w:r w:rsidRPr="004E602A">
        <w:rPr>
          <w:sz w:val="20"/>
          <w:szCs w:val="20"/>
          <w:rtl/>
        </w:rPr>
        <w:t>ואשר מבואר לפי"ז דאע"פ שבין גרים ובין נשים לא נטלו חלק בארץ, מ"מ חלוקים הם ביסוד דין הפקעתם בנטילת חלק בארץ, דנשים הויין בכלל זרע אברהם ונכללים בדין א"י מוחזקת היא מאבותינו, והרי הן בכלל הבטחת ה' לאברהם אבינו "לך אתננה ולזרעך". ויסוד הדין דנשים אינן נוטלות חלק בארץ הוא משום דלאו בני כיבוש נינהו, ואינן בכלל ירושה וישיבה (עיין בבית הלוי חלק ב' סוף סימן נ'). משא"כ גרים הויין בכלל כיבוש וקיום ירושה וישיבה ומופקעים מנטילת חלק בא"י משום שאינם בכלל זרע אברהם אבינו ואינם בכלל א"י מוחזקת היא מאבותינו. ולפי"ז יש לבאר את דברי המדרש דלעתיד לבא יטלו גרים חלק בארצות שיוסיפו על ארץ ז' עממים (עיין במל"מ פ"ד מהל' ביכורים ה"ג), ומשמע דנשים לא יטלו חלק בארץ לעתיד לבא ואף בארצות שיוסיפו ישראל על ארץ ז' עממין, וצ"ע מאי שנא נשים מגרים. וי"ל דשאני הארצות שיתוספו על א"י לעתיד לבא שאינם בכלל א"י המוחזקת לנו מאבותינו, ויתקדשו רק מדין כיבוש ירושה וישיבה מגזה"כ ד"כל מקום אשר תדרוך כף רגלכם". ולכן נשים דאינן בני כיבוש ואינן בכלל ירושה וישיבה לא יטלו חלק בארצות הנוספות לעתיד לבא. ואילו גרים יטלו חלק בארצות שיוסיפו על ארץ ז' עממין דהרי גרים בכלל כיבוש ירושה וישיבה, ובארצות הנוספות לעתיד לבא לא בעינן לזכות בהן מכח אבותינו</w:t>
      </w:r>
      <w:r w:rsidRPr="004E602A">
        <w:rPr>
          <w:sz w:val="20"/>
          <w:szCs w:val="20"/>
        </w:rPr>
        <w:t>.</w:t>
      </w:r>
    </w:p>
    <w:p w:rsidR="008D1B4B" w:rsidRPr="004E602A" w:rsidRDefault="008D1B4B" w:rsidP="00504043">
      <w:pPr>
        <w:pStyle w:val="NoSpacing"/>
        <w:numPr>
          <w:ilvl w:val="0"/>
          <w:numId w:val="1"/>
        </w:numPr>
        <w:bidi/>
        <w:ind w:left="27"/>
        <w:rPr>
          <w:b/>
          <w:bCs/>
          <w:sz w:val="20"/>
          <w:szCs w:val="20"/>
          <w:u w:val="single"/>
        </w:rPr>
      </w:pPr>
      <w:r w:rsidRPr="004E602A">
        <w:rPr>
          <w:b/>
          <w:bCs/>
          <w:sz w:val="20"/>
          <w:szCs w:val="20"/>
          <w:u w:val="single"/>
          <w:rtl/>
        </w:rPr>
        <w:t>שולחן ערוך אורח חיים הלכות בציעת הפת, סעודה, וברכת המזון סימן קפו סעיף א</w:t>
      </w:r>
    </w:p>
    <w:p w:rsidR="008D1B4B" w:rsidRPr="004E602A" w:rsidRDefault="008D1B4B" w:rsidP="00504043">
      <w:pPr>
        <w:pStyle w:val="NoSpacing"/>
        <w:bidi/>
        <w:ind w:left="27"/>
        <w:rPr>
          <w:sz w:val="20"/>
          <w:szCs w:val="20"/>
        </w:rPr>
      </w:pPr>
      <w:r w:rsidRPr="004E602A">
        <w:rPr>
          <w:sz w:val="20"/>
          <w:szCs w:val="20"/>
          <w:rtl/>
        </w:rPr>
        <w:t>א] נשים חייבות בברכת המזון, א [א] ב] וספק הוא (א) אם א) הן חייבות א'] מדאורייתא * א} ומוציאות את האנשים, * או אם אינן חייבות * (ב) &lt;א&gt; ב'] אלא מדרבנן ב) ואינן מוציאות (ג) אלא למי ג) שאין חיובו אלא מדרבנן. (ב וע"ל סי' קצ"ט בענין זימון שלהם</w:t>
      </w:r>
      <w:r w:rsidRPr="004E602A">
        <w:rPr>
          <w:sz w:val="20"/>
          <w:szCs w:val="20"/>
        </w:rPr>
        <w:t>).</w:t>
      </w:r>
    </w:p>
    <w:p w:rsidR="008D1B4B" w:rsidRPr="004E602A" w:rsidRDefault="008D1B4B" w:rsidP="00504043">
      <w:pPr>
        <w:pStyle w:val="NoSpacing"/>
        <w:numPr>
          <w:ilvl w:val="0"/>
          <w:numId w:val="1"/>
        </w:numPr>
        <w:bidi/>
        <w:ind w:left="27"/>
        <w:rPr>
          <w:b/>
          <w:bCs/>
          <w:sz w:val="20"/>
          <w:szCs w:val="20"/>
          <w:u w:val="single"/>
        </w:rPr>
      </w:pPr>
      <w:r w:rsidRPr="004E602A">
        <w:rPr>
          <w:b/>
          <w:bCs/>
          <w:sz w:val="20"/>
          <w:szCs w:val="20"/>
          <w:u w:val="single"/>
          <w:rtl/>
        </w:rPr>
        <w:t>עולת תמיד סימן קפו ס"ק ב</w:t>
      </w:r>
    </w:p>
    <w:p w:rsidR="004E602A" w:rsidRPr="004E602A" w:rsidRDefault="008D1B4B" w:rsidP="00504043">
      <w:pPr>
        <w:pStyle w:val="NoSpacing"/>
        <w:bidi/>
        <w:ind w:left="27"/>
        <w:rPr>
          <w:sz w:val="20"/>
          <w:szCs w:val="20"/>
        </w:rPr>
      </w:pPr>
      <w:r w:rsidRPr="004E602A">
        <w:rPr>
          <w:sz w:val="20"/>
          <w:szCs w:val="20"/>
          <w:rtl/>
        </w:rPr>
        <w:t>ב ואינם מוציאות אלא למי וכו'. פירוש דוקא לענין זימון יש להסתפק אבל הם בפני עצמן חייבים לברך ברכת המזון, דספיקא דאורייתא הוא</w:t>
      </w:r>
      <w:r w:rsidRPr="004E602A">
        <w:rPr>
          <w:sz w:val="20"/>
          <w:szCs w:val="20"/>
        </w:rPr>
        <w:t>:</w:t>
      </w:r>
    </w:p>
    <w:p w:rsidR="004E602A" w:rsidRPr="004E602A" w:rsidRDefault="004E602A" w:rsidP="00504043">
      <w:pPr>
        <w:pStyle w:val="NoSpacing"/>
        <w:numPr>
          <w:ilvl w:val="0"/>
          <w:numId w:val="1"/>
        </w:numPr>
        <w:bidi/>
        <w:ind w:left="27"/>
        <w:rPr>
          <w:b/>
          <w:bCs/>
          <w:sz w:val="20"/>
          <w:szCs w:val="20"/>
          <w:u w:val="single"/>
        </w:rPr>
      </w:pPr>
      <w:r w:rsidRPr="004E602A">
        <w:rPr>
          <w:rFonts w:cs="Arial"/>
          <w:b/>
          <w:bCs/>
          <w:sz w:val="20"/>
          <w:szCs w:val="20"/>
          <w:u w:val="single"/>
          <w:rtl/>
        </w:rPr>
        <w:t>ערוך השולחן אורח חיים סימן קפו</w:t>
      </w:r>
    </w:p>
    <w:p w:rsidR="008D1B4B" w:rsidRPr="004E602A" w:rsidRDefault="004E602A" w:rsidP="00504043">
      <w:pPr>
        <w:pStyle w:val="NoSpacing"/>
        <w:bidi/>
        <w:ind w:left="27"/>
      </w:pPr>
      <w:r w:rsidRPr="004E602A">
        <w:rPr>
          <w:rFonts w:cs="Arial"/>
          <w:sz w:val="20"/>
          <w:szCs w:val="20"/>
          <w:rtl/>
        </w:rPr>
        <w:t xml:space="preserve">דעת הראב"ד והרשב"א שהבעיא נפשטה ונשים חייבות בברהמ"ז מן התורה ויכולות להוציא גם אנשים ומ"מ לעניין זימון אין מצטרפות משום פריצותא ויתבאר בסי' קצ"ט אבל דעת התוס' והרא"ש דהבעיא לא נפשטה והוי ספיקא דדינא וזהו גם דעת הרמב"ם בפ"ה ע"ש וכן פסק רבינו הב"י בסעיף א' ולכן אינן מוציאות אלא מי שחיובו מדרבנן כמו אשה וקטן ועבד דינו כאשה וטומטום ואנדרוגינוס הם ספק איש ספק אשה ולכן האשה אינה מוציאה אותם והם אינן מוציאות את </w:t>
      </w:r>
      <w:r w:rsidRPr="004E602A">
        <w:rPr>
          <w:rFonts w:cs="Arial"/>
          <w:sz w:val="20"/>
          <w:szCs w:val="20"/>
          <w:rtl/>
        </w:rPr>
        <w:lastRenderedPageBreak/>
        <w:t>האיש וגם אינם מוציאות זא"ז דשמא זה זכר וזה נקבה ויש מהפוסקים דפשיטא ליה דמסקנא דסוגיא הוא דנשים אין חיובן אלא מדרבנן וזהו דעת רבינו יונה [עב"י] וכן הוא דעת הזוהר תרומה [קס"ח:] ע"ש [עמג"א סק"א</w:t>
      </w:r>
      <w:r>
        <w:t>]:</w:t>
      </w:r>
    </w:p>
    <w:sectPr w:rsidR="008D1B4B" w:rsidRPr="004E602A"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DC" w:rsidRDefault="00AD0BDC" w:rsidP="00504043">
      <w:pPr>
        <w:spacing w:after="0" w:line="240" w:lineRule="auto"/>
      </w:pPr>
      <w:r>
        <w:separator/>
      </w:r>
    </w:p>
  </w:endnote>
  <w:endnote w:type="continuationSeparator" w:id="0">
    <w:p w:rsidR="00AD0BDC" w:rsidRDefault="00AD0BDC" w:rsidP="0050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DC" w:rsidRDefault="00AD0BDC" w:rsidP="00504043">
      <w:pPr>
        <w:spacing w:after="0" w:line="240" w:lineRule="auto"/>
      </w:pPr>
      <w:r>
        <w:separator/>
      </w:r>
    </w:p>
  </w:footnote>
  <w:footnote w:type="continuationSeparator" w:id="0">
    <w:p w:rsidR="00AD0BDC" w:rsidRDefault="00AD0BDC" w:rsidP="0050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3" w:rsidRDefault="00504043" w:rsidP="00504043">
    <w:pPr>
      <w:pStyle w:val="Header"/>
      <w:bidi/>
      <w:jc w:val="center"/>
      <w:rPr>
        <w:rFonts w:hint="cs"/>
        <w:rtl/>
      </w:rPr>
    </w:pPr>
    <w:r w:rsidRPr="00504043">
      <w:rPr>
        <w:rFonts w:hint="cs"/>
        <w:sz w:val="52"/>
        <w:szCs w:val="52"/>
        <w:rtl/>
      </w:rPr>
      <w:t xml:space="preserve">נשים בברכת המזון </w:t>
    </w:r>
    <w:r>
      <w:rPr>
        <w:rFonts w:hint="cs"/>
        <w:rtl/>
      </w:rPr>
      <w:t xml:space="preserve">פ' </w:t>
    </w:r>
    <w:proofErr w:type="spellStart"/>
    <w:r>
      <w:rPr>
        <w:rFonts w:hint="cs"/>
        <w:rtl/>
      </w:rPr>
      <w:t>וארא</w:t>
    </w:r>
    <w:proofErr w:type="spellEnd"/>
    <w:r>
      <w:rPr>
        <w:rFonts w:hint="cs"/>
        <w:rtl/>
      </w:rPr>
      <w:t xml:space="preserve">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B5F49"/>
    <w:multiLevelType w:val="hybridMultilevel"/>
    <w:tmpl w:val="4396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4B"/>
    <w:rsid w:val="00031CA0"/>
    <w:rsid w:val="001B374B"/>
    <w:rsid w:val="004E602A"/>
    <w:rsid w:val="00504043"/>
    <w:rsid w:val="008D1B4B"/>
    <w:rsid w:val="00A26D59"/>
    <w:rsid w:val="00AD0BDC"/>
    <w:rsid w:val="00C35C46"/>
    <w:rsid w:val="00DD7A5B"/>
    <w:rsid w:val="00E70E94"/>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02A"/>
    <w:pPr>
      <w:spacing w:after="0" w:line="240" w:lineRule="auto"/>
    </w:pPr>
  </w:style>
  <w:style w:type="paragraph" w:styleId="Header">
    <w:name w:val="header"/>
    <w:basedOn w:val="Normal"/>
    <w:link w:val="HeaderChar"/>
    <w:uiPriority w:val="99"/>
    <w:unhideWhenUsed/>
    <w:rsid w:val="0050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43"/>
  </w:style>
  <w:style w:type="paragraph" w:styleId="Footer">
    <w:name w:val="footer"/>
    <w:basedOn w:val="Normal"/>
    <w:link w:val="FooterChar"/>
    <w:uiPriority w:val="99"/>
    <w:unhideWhenUsed/>
    <w:rsid w:val="0050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02A"/>
    <w:pPr>
      <w:spacing w:after="0" w:line="240" w:lineRule="auto"/>
    </w:pPr>
  </w:style>
  <w:style w:type="paragraph" w:styleId="Header">
    <w:name w:val="header"/>
    <w:basedOn w:val="Normal"/>
    <w:link w:val="HeaderChar"/>
    <w:uiPriority w:val="99"/>
    <w:unhideWhenUsed/>
    <w:rsid w:val="0050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43"/>
  </w:style>
  <w:style w:type="paragraph" w:styleId="Footer">
    <w:name w:val="footer"/>
    <w:basedOn w:val="Normal"/>
    <w:link w:val="FooterChar"/>
    <w:uiPriority w:val="99"/>
    <w:unhideWhenUsed/>
    <w:rsid w:val="0050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67</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2018-12-28T10:55:00Z</cp:lastPrinted>
  <dcterms:created xsi:type="dcterms:W3CDTF">2018-12-28T09:32:00Z</dcterms:created>
  <dcterms:modified xsi:type="dcterms:W3CDTF">2018-12-28T10:55:00Z</dcterms:modified>
</cp:coreProperties>
</file>