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70" w:rsidRPr="00332A70" w:rsidRDefault="00332A70" w:rsidP="00332A70">
      <w:pPr>
        <w:bidi/>
        <w:jc w:val="center"/>
        <w:rPr>
          <w:rFonts w:cs="David"/>
          <w:b/>
          <w:bCs/>
          <w:i/>
          <w:iCs/>
          <w:sz w:val="32"/>
          <w:szCs w:val="32"/>
        </w:rPr>
      </w:pPr>
      <w:r w:rsidRPr="00332A70">
        <w:rPr>
          <w:rFonts w:cs="David"/>
          <w:b/>
          <w:bCs/>
          <w:i/>
          <w:iCs/>
          <w:sz w:val="32"/>
          <w:szCs w:val="32"/>
        </w:rPr>
        <w:t>DA’AS TORAH AND JEWISH LEADERSHIP</w:t>
      </w:r>
      <w:r>
        <w:rPr>
          <w:rFonts w:cs="David"/>
          <w:b/>
          <w:bCs/>
          <w:i/>
          <w:iCs/>
          <w:sz w:val="32"/>
          <w:szCs w:val="32"/>
        </w:rPr>
        <w:t xml:space="preserve"> IN THE THOUGHT OF RAL ZT”L</w:t>
      </w:r>
      <w:r w:rsidRPr="00332A70">
        <w:rPr>
          <w:rFonts w:cs="David"/>
          <w:b/>
          <w:bCs/>
          <w:i/>
          <w:iCs/>
          <w:sz w:val="32"/>
          <w:szCs w:val="32"/>
        </w:rPr>
        <w:t>: WHAT DO WE WANT, WHAT SHOULD WE WANT</w:t>
      </w:r>
      <w:bookmarkStart w:id="0" w:name="_GoBack"/>
      <w:bookmarkEnd w:id="0"/>
    </w:p>
    <w:p w:rsidR="00332A70" w:rsidRDefault="00332A70" w:rsidP="00332A70">
      <w:pPr>
        <w:bidi/>
        <w:rPr>
          <w:rFonts w:cs="David"/>
          <w:sz w:val="28"/>
          <w:szCs w:val="28"/>
        </w:rPr>
      </w:pPr>
    </w:p>
    <w:p w:rsidR="00332A70" w:rsidRPr="00332A70" w:rsidRDefault="00332A70" w:rsidP="00332A70">
      <w:pPr>
        <w:bidi/>
        <w:rPr>
          <w:rFonts w:cs="David"/>
          <w:b/>
          <w:bCs/>
          <w:sz w:val="28"/>
          <w:szCs w:val="28"/>
          <w:u w:val="single"/>
        </w:rPr>
      </w:pPr>
      <w:r w:rsidRPr="00332A70">
        <w:rPr>
          <w:rFonts w:cs="David" w:hint="cs"/>
          <w:b/>
          <w:bCs/>
          <w:sz w:val="28"/>
          <w:szCs w:val="28"/>
          <w:u w:val="single"/>
          <w:rtl/>
        </w:rPr>
        <w:t xml:space="preserve">(1) </w:t>
      </w:r>
      <w:r w:rsidRPr="00332A70">
        <w:rPr>
          <w:rFonts w:cs="David" w:hint="cs"/>
          <w:b/>
          <w:bCs/>
          <w:sz w:val="28"/>
          <w:szCs w:val="28"/>
          <w:u w:val="single"/>
          <w:rtl/>
        </w:rPr>
        <w:t xml:space="preserve">תלמוד ירושלמי מסכת ברכות פרק ד דף ח טור ב /ה"ד </w:t>
      </w:r>
    </w:p>
    <w:p w:rsidR="00332A70" w:rsidRDefault="00332A70" w:rsidP="00332A70">
      <w:pPr>
        <w:bidi/>
        <w:rPr>
          <w:rFonts w:cs="David" w:hint="cs"/>
          <w:sz w:val="28"/>
          <w:szCs w:val="28"/>
          <w:rtl/>
        </w:rPr>
      </w:pPr>
      <w:r>
        <w:rPr>
          <w:rFonts w:cs="David" w:hint="cs"/>
          <w:sz w:val="28"/>
          <w:szCs w:val="28"/>
          <w:rtl/>
        </w:rPr>
        <w:t>כרבי דרבי אמר תמיה אני היאך בטלו חונן הדעת בשבת אם אין דיעה מניין תפילה</w:t>
      </w:r>
    </w:p>
    <w:p w:rsidR="00332A70" w:rsidRDefault="00332A70" w:rsidP="00332A70">
      <w:pPr>
        <w:bidi/>
        <w:rPr>
          <w:rFonts w:cs="David"/>
          <w:sz w:val="28"/>
          <w:szCs w:val="28"/>
        </w:rPr>
      </w:pPr>
    </w:p>
    <w:p w:rsidR="00332A70" w:rsidRDefault="00332A70" w:rsidP="00332A70">
      <w:pPr>
        <w:bidi/>
        <w:rPr>
          <w:rFonts w:cs="David" w:hint="cs"/>
          <w:sz w:val="28"/>
          <w:szCs w:val="28"/>
          <w:rtl/>
        </w:rPr>
      </w:pPr>
      <w:r w:rsidRPr="00332A70">
        <w:rPr>
          <w:rFonts w:cs="David" w:hint="cs"/>
          <w:b/>
          <w:bCs/>
          <w:sz w:val="28"/>
          <w:szCs w:val="28"/>
          <w:u w:val="single"/>
          <w:rtl/>
        </w:rPr>
        <w:t>(2)</w:t>
      </w:r>
      <w:r w:rsidRPr="00332A70">
        <w:rPr>
          <w:rFonts w:cs="David"/>
          <w:b/>
          <w:bCs/>
          <w:sz w:val="28"/>
          <w:szCs w:val="28"/>
          <w:u w:val="single"/>
        </w:rPr>
        <w:t xml:space="preserve"> </w:t>
      </w:r>
      <w:r w:rsidRPr="00332A70">
        <w:rPr>
          <w:rFonts w:cs="David" w:hint="cs"/>
          <w:b/>
          <w:bCs/>
          <w:sz w:val="28"/>
          <w:szCs w:val="28"/>
          <w:u w:val="single"/>
          <w:rtl/>
        </w:rPr>
        <w:t xml:space="preserve">תהלים פרק כה </w:t>
      </w:r>
      <w:r>
        <w:rPr>
          <w:rFonts w:cs="David"/>
          <w:b/>
          <w:bCs/>
          <w:sz w:val="28"/>
          <w:szCs w:val="28"/>
          <w:u w:val="single"/>
        </w:rPr>
        <w:t xml:space="preserve">  </w:t>
      </w:r>
      <w:r>
        <w:rPr>
          <w:rFonts w:cs="David"/>
          <w:sz w:val="28"/>
          <w:szCs w:val="28"/>
        </w:rPr>
        <w:t>(</w:t>
      </w:r>
      <w:r>
        <w:rPr>
          <w:rFonts w:cs="David" w:hint="cs"/>
          <w:sz w:val="28"/>
          <w:szCs w:val="28"/>
          <w:rtl/>
        </w:rPr>
        <w:t>יד) סוד יקוק ליראיו ובריתו להודיעם</w:t>
      </w:r>
      <w:r>
        <w:rPr>
          <w:rFonts w:cs="David"/>
          <w:sz w:val="28"/>
          <w:szCs w:val="28"/>
        </w:rPr>
        <w:t>:</w:t>
      </w:r>
    </w:p>
    <w:p w:rsidR="00332A70" w:rsidRDefault="00332A70" w:rsidP="00332A70">
      <w:pPr>
        <w:bidi/>
        <w:rPr>
          <w:rFonts w:cs="David"/>
          <w:sz w:val="28"/>
          <w:szCs w:val="28"/>
        </w:rPr>
      </w:pPr>
    </w:p>
    <w:p w:rsidR="00332A70" w:rsidRDefault="00332A70" w:rsidP="00332A70">
      <w:pPr>
        <w:bidi/>
        <w:rPr>
          <w:rFonts w:cs="David"/>
          <w:sz w:val="28"/>
          <w:szCs w:val="28"/>
        </w:rPr>
      </w:pPr>
      <w:r w:rsidRPr="00332A70">
        <w:rPr>
          <w:rFonts w:cs="David" w:hint="cs"/>
          <w:b/>
          <w:bCs/>
          <w:sz w:val="28"/>
          <w:szCs w:val="28"/>
          <w:u w:val="single"/>
          <w:rtl/>
        </w:rPr>
        <w:t>(3)</w:t>
      </w:r>
      <w:r w:rsidRPr="00332A70">
        <w:rPr>
          <w:rFonts w:cs="David"/>
          <w:b/>
          <w:bCs/>
          <w:sz w:val="28"/>
          <w:szCs w:val="28"/>
          <w:u w:val="single"/>
        </w:rPr>
        <w:t xml:space="preserve"> </w:t>
      </w:r>
      <w:r w:rsidRPr="00332A70">
        <w:rPr>
          <w:rFonts w:cs="David" w:hint="cs"/>
          <w:b/>
          <w:bCs/>
          <w:sz w:val="28"/>
          <w:szCs w:val="28"/>
          <w:u w:val="single"/>
          <w:rtl/>
        </w:rPr>
        <w:t xml:space="preserve">דברים פרק יז </w:t>
      </w:r>
      <w:r>
        <w:rPr>
          <w:rFonts w:cs="David"/>
          <w:sz w:val="28"/>
          <w:szCs w:val="28"/>
        </w:rPr>
        <w:t>(</w:t>
      </w:r>
      <w:r>
        <w:rPr>
          <w:rFonts w:cs="David" w:hint="cs"/>
          <w:sz w:val="28"/>
          <w:szCs w:val="28"/>
          <w:rtl/>
        </w:rPr>
        <w:t>יא) על פי התורה אשר יורוך ועל המשפט אשר יאמרו לך תעשה לא תסור מן הדבר אשר יגידו לך ימין ושמאל</w:t>
      </w:r>
      <w:r>
        <w:rPr>
          <w:rFonts w:cs="David"/>
          <w:sz w:val="28"/>
          <w:szCs w:val="28"/>
        </w:rPr>
        <w:t>:</w:t>
      </w:r>
    </w:p>
    <w:p w:rsidR="00332A70" w:rsidRDefault="00332A70" w:rsidP="00332A70">
      <w:pPr>
        <w:bidi/>
        <w:rPr>
          <w:rFonts w:cs="David"/>
          <w:sz w:val="28"/>
          <w:szCs w:val="28"/>
        </w:rPr>
      </w:pPr>
      <w:r>
        <w:rPr>
          <w:rFonts w:cs="David" w:hint="cs"/>
          <w:sz w:val="28"/>
          <w:szCs w:val="28"/>
          <w:rtl/>
        </w:rPr>
        <w:t xml:space="preserve">רש"י דברים פרק יז </w:t>
      </w:r>
    </w:p>
    <w:p w:rsidR="00332A70" w:rsidRDefault="00332A70" w:rsidP="00332A70">
      <w:pPr>
        <w:bidi/>
        <w:rPr>
          <w:rFonts w:cs="David" w:hint="cs"/>
          <w:sz w:val="28"/>
          <w:szCs w:val="28"/>
          <w:rtl/>
        </w:rPr>
      </w:pPr>
      <w:r>
        <w:rPr>
          <w:rFonts w:cs="David"/>
          <w:sz w:val="28"/>
          <w:szCs w:val="28"/>
        </w:rPr>
        <w:t>(</w:t>
      </w:r>
      <w:r>
        <w:rPr>
          <w:rFonts w:cs="David" w:hint="cs"/>
          <w:sz w:val="28"/>
          <w:szCs w:val="28"/>
          <w:rtl/>
        </w:rPr>
        <w:t>יא) ימין ושמאל - אפילו אומר לך על ימין שהוא שמאל ועל שמאל שהוא ימין, וכל שכן שאומר לך על ימין ימין ועל שמאל שמאל</w:t>
      </w:r>
      <w:r>
        <w:rPr>
          <w:rFonts w:cs="David"/>
          <w:sz w:val="28"/>
          <w:szCs w:val="28"/>
        </w:rPr>
        <w:t>:</w:t>
      </w:r>
    </w:p>
    <w:p w:rsidR="00332A70" w:rsidRDefault="00332A70" w:rsidP="00332A70">
      <w:pPr>
        <w:bidi/>
        <w:rPr>
          <w:rFonts w:cs="David"/>
          <w:sz w:val="28"/>
          <w:szCs w:val="28"/>
        </w:rPr>
      </w:pPr>
    </w:p>
    <w:p w:rsidR="00332A70" w:rsidRPr="00332A70" w:rsidRDefault="00332A70" w:rsidP="00332A70">
      <w:pPr>
        <w:bidi/>
        <w:rPr>
          <w:rFonts w:cs="David"/>
          <w:b/>
          <w:bCs/>
          <w:sz w:val="28"/>
          <w:szCs w:val="28"/>
          <w:u w:val="single"/>
        </w:rPr>
      </w:pPr>
      <w:r w:rsidRPr="00332A70">
        <w:rPr>
          <w:rFonts w:cs="David" w:hint="cs"/>
          <w:b/>
          <w:bCs/>
          <w:sz w:val="28"/>
          <w:szCs w:val="28"/>
          <w:u w:val="single"/>
          <w:rtl/>
        </w:rPr>
        <w:t>(4)</w:t>
      </w:r>
      <w:r w:rsidRPr="00332A70">
        <w:rPr>
          <w:rFonts w:cs="David"/>
          <w:b/>
          <w:bCs/>
          <w:sz w:val="28"/>
          <w:szCs w:val="28"/>
          <w:u w:val="single"/>
        </w:rPr>
        <w:t xml:space="preserve"> </w:t>
      </w:r>
      <w:r w:rsidRPr="00332A70">
        <w:rPr>
          <w:rFonts w:cs="David" w:hint="cs"/>
          <w:b/>
          <w:bCs/>
          <w:sz w:val="28"/>
          <w:szCs w:val="28"/>
          <w:u w:val="single"/>
          <w:rtl/>
        </w:rPr>
        <w:t xml:space="preserve">תלמוד ירושלמי מסכת הוריות פרק א דף מה טור ד /ה"א </w:t>
      </w:r>
    </w:p>
    <w:p w:rsidR="00332A70" w:rsidRDefault="00332A70" w:rsidP="00332A70">
      <w:pPr>
        <w:bidi/>
        <w:rPr>
          <w:rFonts w:cs="David" w:hint="cs"/>
          <w:sz w:val="28"/>
          <w:szCs w:val="28"/>
          <w:rtl/>
        </w:rPr>
      </w:pPr>
      <w:r>
        <w:rPr>
          <w:rFonts w:cs="David" w:hint="cs"/>
          <w:sz w:val="28"/>
          <w:szCs w:val="28"/>
          <w:rtl/>
        </w:rPr>
        <w:t>יכול אם יאמרו לך על ימין שהיא שמאל ועל שמאל שהיא ימין תשמע להם תלמוד לומר ללכת ימין ושמאל שיאמרו לך על ימין שהוא ימין ועל שמאל שהיא שמאל</w:t>
      </w:r>
    </w:p>
    <w:p w:rsidR="00332A70" w:rsidRDefault="00332A70" w:rsidP="00332A70">
      <w:pPr>
        <w:bidi/>
        <w:rPr>
          <w:rFonts w:cs="David"/>
          <w:sz w:val="28"/>
          <w:szCs w:val="28"/>
        </w:rPr>
      </w:pPr>
    </w:p>
    <w:p w:rsidR="00332A70" w:rsidRPr="00332A70" w:rsidRDefault="00332A70" w:rsidP="00332A70">
      <w:pPr>
        <w:bidi/>
        <w:rPr>
          <w:rFonts w:cs="David"/>
          <w:b/>
          <w:bCs/>
          <w:sz w:val="28"/>
          <w:szCs w:val="28"/>
          <w:u w:val="single"/>
        </w:rPr>
      </w:pPr>
      <w:r w:rsidRPr="00332A70">
        <w:rPr>
          <w:rFonts w:cs="David" w:hint="cs"/>
          <w:b/>
          <w:bCs/>
          <w:sz w:val="28"/>
          <w:szCs w:val="28"/>
          <w:u w:val="single"/>
          <w:rtl/>
        </w:rPr>
        <w:t>(5)</w:t>
      </w:r>
      <w:r w:rsidRPr="00332A70">
        <w:rPr>
          <w:rFonts w:cs="David"/>
          <w:b/>
          <w:bCs/>
          <w:sz w:val="28"/>
          <w:szCs w:val="28"/>
          <w:u w:val="single"/>
        </w:rPr>
        <w:t xml:space="preserve"> </w:t>
      </w:r>
      <w:r w:rsidRPr="00332A70">
        <w:rPr>
          <w:rFonts w:cs="David" w:hint="cs"/>
          <w:b/>
          <w:bCs/>
          <w:sz w:val="28"/>
          <w:szCs w:val="28"/>
          <w:u w:val="single"/>
          <w:rtl/>
        </w:rPr>
        <w:t xml:space="preserve">רמב"ם הלכות ממרים פרק א הלכה א </w:t>
      </w:r>
    </w:p>
    <w:p w:rsidR="00332A70" w:rsidRDefault="00332A70" w:rsidP="00332A70">
      <w:pPr>
        <w:bidi/>
        <w:rPr>
          <w:rFonts w:cs="David" w:hint="cs"/>
          <w:sz w:val="28"/>
          <w:szCs w:val="28"/>
          <w:rtl/>
        </w:rPr>
      </w:pPr>
      <w:r>
        <w:rPr>
          <w:rFonts w:cs="David" w:hint="cs"/>
          <w:sz w:val="28"/>
          <w:szCs w:val="28"/>
          <w:rtl/>
        </w:rPr>
        <w:t>בית דין הגדול שבירושלים הם עיקר תורה שבעל פה, והם עמודי ההוראה ומהם חק ומשפט יוצא לכל ישראל, ועליהן הבטיחה תורה שנאמר על פי התורה אשר יורוך זו מצות עשה, וכל המאמין במשה רבינו ובתורתו חייב לסמוך מעשה הדת עליהן ולישען עליהן</w:t>
      </w:r>
      <w:r>
        <w:rPr>
          <w:rFonts w:cs="David"/>
          <w:sz w:val="28"/>
          <w:szCs w:val="28"/>
        </w:rPr>
        <w:t>.</w:t>
      </w:r>
    </w:p>
    <w:p w:rsidR="00332A70" w:rsidRDefault="00332A70" w:rsidP="00332A70">
      <w:pPr>
        <w:bidi/>
        <w:rPr>
          <w:rFonts w:cs="David" w:hint="cs"/>
          <w:sz w:val="28"/>
          <w:szCs w:val="28"/>
        </w:rPr>
      </w:pPr>
    </w:p>
    <w:p w:rsidR="00332A70" w:rsidRDefault="00332A70" w:rsidP="00332A70">
      <w:pPr>
        <w:bidi/>
        <w:rPr>
          <w:rFonts w:cs="David"/>
          <w:sz w:val="28"/>
          <w:szCs w:val="28"/>
        </w:rPr>
      </w:pPr>
    </w:p>
    <w:p w:rsidR="00332A70" w:rsidRPr="00332A70" w:rsidRDefault="00332A70" w:rsidP="00332A70">
      <w:pPr>
        <w:bidi/>
        <w:rPr>
          <w:rFonts w:cs="David"/>
          <w:b/>
          <w:bCs/>
          <w:sz w:val="28"/>
          <w:szCs w:val="28"/>
          <w:u w:val="single"/>
        </w:rPr>
      </w:pPr>
      <w:r w:rsidRPr="00332A70">
        <w:rPr>
          <w:rFonts w:cs="David" w:hint="cs"/>
          <w:b/>
          <w:bCs/>
          <w:sz w:val="28"/>
          <w:szCs w:val="28"/>
          <w:u w:val="single"/>
          <w:rtl/>
        </w:rPr>
        <w:lastRenderedPageBreak/>
        <w:t>(6)</w:t>
      </w:r>
      <w:r w:rsidRPr="00332A70">
        <w:rPr>
          <w:rFonts w:cs="David"/>
          <w:b/>
          <w:bCs/>
          <w:sz w:val="28"/>
          <w:szCs w:val="28"/>
          <w:u w:val="single"/>
        </w:rPr>
        <w:t xml:space="preserve"> </w:t>
      </w:r>
      <w:r w:rsidRPr="00332A70">
        <w:rPr>
          <w:rFonts w:cs="David" w:hint="cs"/>
          <w:b/>
          <w:bCs/>
          <w:sz w:val="28"/>
          <w:szCs w:val="28"/>
          <w:u w:val="single"/>
          <w:rtl/>
        </w:rPr>
        <w:t xml:space="preserve">דברים פרק יז </w:t>
      </w:r>
    </w:p>
    <w:p w:rsidR="00332A70" w:rsidRDefault="00332A70" w:rsidP="00332A70">
      <w:pPr>
        <w:bidi/>
        <w:rPr>
          <w:rFonts w:cs="David" w:hint="cs"/>
          <w:sz w:val="28"/>
          <w:szCs w:val="28"/>
          <w:rtl/>
        </w:rPr>
      </w:pPr>
      <w:r>
        <w:rPr>
          <w:rFonts w:cs="David"/>
          <w:sz w:val="28"/>
          <w:szCs w:val="28"/>
        </w:rPr>
        <w:t>(</w:t>
      </w:r>
      <w:r>
        <w:rPr>
          <w:rFonts w:cs="David" w:hint="cs"/>
          <w:sz w:val="28"/>
          <w:szCs w:val="28"/>
          <w:rtl/>
        </w:rPr>
        <w:t>ח) כי יפלא ממך דבר למשפט בין דם לדם בין דין לדין ובין נגע לנגע דברי ריבת בשעריך וקמת ועלית אל המקום אשר יבחר יקוק אלהיך בו</w:t>
      </w:r>
      <w:r>
        <w:rPr>
          <w:rFonts w:cs="David"/>
          <w:sz w:val="28"/>
          <w:szCs w:val="28"/>
        </w:rPr>
        <w:t>:</w:t>
      </w:r>
    </w:p>
    <w:p w:rsidR="00332A70" w:rsidRDefault="00332A70" w:rsidP="00332A70">
      <w:pPr>
        <w:bidi/>
        <w:rPr>
          <w:rFonts w:cs="David"/>
          <w:sz w:val="28"/>
          <w:szCs w:val="28"/>
        </w:rPr>
      </w:pPr>
    </w:p>
    <w:p w:rsidR="00332A70" w:rsidRPr="00332A70" w:rsidRDefault="00332A70" w:rsidP="00332A70">
      <w:pPr>
        <w:bidi/>
        <w:rPr>
          <w:rFonts w:cs="David"/>
          <w:b/>
          <w:bCs/>
          <w:sz w:val="28"/>
          <w:szCs w:val="28"/>
          <w:u w:val="single"/>
        </w:rPr>
      </w:pPr>
      <w:r w:rsidRPr="00332A70">
        <w:rPr>
          <w:rFonts w:cs="David" w:hint="cs"/>
          <w:b/>
          <w:bCs/>
          <w:sz w:val="28"/>
          <w:szCs w:val="28"/>
          <w:u w:val="single"/>
          <w:rtl/>
        </w:rPr>
        <w:t>(7)</w:t>
      </w:r>
      <w:r w:rsidRPr="00332A70">
        <w:rPr>
          <w:rFonts w:cs="David"/>
          <w:b/>
          <w:bCs/>
          <w:sz w:val="28"/>
          <w:szCs w:val="28"/>
          <w:u w:val="single"/>
        </w:rPr>
        <w:t xml:space="preserve"> </w:t>
      </w:r>
      <w:r w:rsidRPr="00332A70">
        <w:rPr>
          <w:rFonts w:cs="David" w:hint="cs"/>
          <w:b/>
          <w:bCs/>
          <w:sz w:val="28"/>
          <w:szCs w:val="28"/>
          <w:u w:val="single"/>
          <w:rtl/>
        </w:rPr>
        <w:t xml:space="preserve">תלמוד בבלי מסכת סנהדרין דף פז עמוד א </w:t>
      </w:r>
    </w:p>
    <w:p w:rsidR="00332A70" w:rsidRDefault="00332A70" w:rsidP="00332A70">
      <w:pPr>
        <w:bidi/>
        <w:rPr>
          <w:rFonts w:cs="David" w:hint="cs"/>
          <w:sz w:val="28"/>
          <w:szCs w:val="28"/>
          <w:rtl/>
        </w:rPr>
      </w:pPr>
      <w:r>
        <w:rPr>
          <w:rFonts w:cs="David" w:hint="cs"/>
          <w:sz w:val="28"/>
          <w:szCs w:val="28"/>
          <w:rtl/>
        </w:rPr>
        <w:t>בין דין לדין - בין דיני נפשות, דיני ממונות, דיני מכות, בין נגע לנגע - בין נגעי אדם, נגעי בתים, נגעי בגדים, דברי - אלו החרמים והערכין וההקדשות. ריבת - זו השקאת סוטה, ועריפת עגלה, וטהרת מצורע. בשעריך - זו לקט שכחה ופאה</w:t>
      </w:r>
      <w:r>
        <w:rPr>
          <w:rFonts w:cs="David"/>
          <w:sz w:val="28"/>
          <w:szCs w:val="28"/>
        </w:rPr>
        <w:t>.</w:t>
      </w:r>
    </w:p>
    <w:p w:rsidR="00332A70" w:rsidRDefault="00332A70" w:rsidP="00332A70">
      <w:pPr>
        <w:bidi/>
        <w:rPr>
          <w:rFonts w:cs="David"/>
          <w:sz w:val="28"/>
          <w:szCs w:val="28"/>
        </w:rPr>
      </w:pPr>
    </w:p>
    <w:p w:rsidR="00332A70" w:rsidRPr="00332A70" w:rsidRDefault="00332A70" w:rsidP="00332A70">
      <w:pPr>
        <w:bidi/>
        <w:rPr>
          <w:rFonts w:cs="David"/>
          <w:b/>
          <w:bCs/>
          <w:sz w:val="28"/>
          <w:szCs w:val="28"/>
          <w:u w:val="single"/>
        </w:rPr>
      </w:pPr>
      <w:r w:rsidRPr="00332A70">
        <w:rPr>
          <w:rFonts w:cs="David" w:hint="cs"/>
          <w:b/>
          <w:bCs/>
          <w:sz w:val="28"/>
          <w:szCs w:val="28"/>
          <w:u w:val="single"/>
          <w:rtl/>
        </w:rPr>
        <w:t>(8)</w:t>
      </w:r>
      <w:r w:rsidRPr="00332A70">
        <w:rPr>
          <w:rFonts w:cs="David"/>
          <w:b/>
          <w:bCs/>
          <w:sz w:val="28"/>
          <w:szCs w:val="28"/>
          <w:u w:val="single"/>
        </w:rPr>
        <w:t xml:space="preserve"> </w:t>
      </w:r>
      <w:r w:rsidRPr="00332A70">
        <w:rPr>
          <w:rFonts w:cs="David" w:hint="cs"/>
          <w:b/>
          <w:bCs/>
          <w:sz w:val="28"/>
          <w:szCs w:val="28"/>
          <w:u w:val="single"/>
          <w:rtl/>
        </w:rPr>
        <w:t xml:space="preserve">תלמוד בבלי מסכת סנהדרין דף יז עמוד א </w:t>
      </w:r>
    </w:p>
    <w:p w:rsidR="00332A70" w:rsidRDefault="00332A70" w:rsidP="00332A70">
      <w:pPr>
        <w:bidi/>
        <w:rPr>
          <w:rFonts w:cs="David" w:hint="cs"/>
          <w:sz w:val="28"/>
          <w:szCs w:val="28"/>
          <w:rtl/>
        </w:rPr>
      </w:pPr>
      <w:r>
        <w:rPr>
          <w:rFonts w:cs="David" w:hint="cs"/>
          <w:sz w:val="28"/>
          <w:szCs w:val="28"/>
          <w:rtl/>
        </w:rPr>
        <w:t>אמר רבי יוחנן: אין מושיבין בסנהדרי אלא בעלי קומה, ובעלי חכמה, ובעלי מראה, ובעלי זקנה, ובעלי כשפים, ויודעים בשבעים לשון, שלא תהא סנהדרי שומעת מפי המתורגמן</w:t>
      </w:r>
      <w:r>
        <w:rPr>
          <w:rFonts w:cs="David"/>
          <w:sz w:val="28"/>
          <w:szCs w:val="28"/>
        </w:rPr>
        <w:t>.</w:t>
      </w:r>
    </w:p>
    <w:p w:rsidR="00332A70" w:rsidRDefault="00332A70" w:rsidP="00332A70">
      <w:pPr>
        <w:bidi/>
        <w:rPr>
          <w:rFonts w:cs="David"/>
          <w:sz w:val="28"/>
          <w:szCs w:val="28"/>
        </w:rPr>
      </w:pPr>
    </w:p>
    <w:p w:rsidR="00332A70" w:rsidRPr="00332A70" w:rsidRDefault="00332A70" w:rsidP="00332A70">
      <w:pPr>
        <w:bidi/>
        <w:rPr>
          <w:rFonts w:cs="David"/>
          <w:b/>
          <w:bCs/>
          <w:sz w:val="28"/>
          <w:szCs w:val="28"/>
          <w:u w:val="single"/>
        </w:rPr>
      </w:pPr>
      <w:r w:rsidRPr="00332A70">
        <w:rPr>
          <w:rFonts w:cs="David" w:hint="cs"/>
          <w:b/>
          <w:bCs/>
          <w:sz w:val="28"/>
          <w:szCs w:val="28"/>
          <w:u w:val="single"/>
          <w:rtl/>
        </w:rPr>
        <w:t>(9)</w:t>
      </w:r>
      <w:r w:rsidRPr="00332A70">
        <w:rPr>
          <w:rFonts w:cs="David"/>
          <w:b/>
          <w:bCs/>
          <w:sz w:val="28"/>
          <w:szCs w:val="28"/>
          <w:u w:val="single"/>
        </w:rPr>
        <w:t xml:space="preserve"> </w:t>
      </w:r>
      <w:r w:rsidRPr="00332A70">
        <w:rPr>
          <w:rFonts w:cs="David" w:hint="cs"/>
          <w:b/>
          <w:bCs/>
          <w:sz w:val="28"/>
          <w:szCs w:val="28"/>
          <w:u w:val="single"/>
          <w:rtl/>
        </w:rPr>
        <w:t xml:space="preserve">ספרי דברים פרשת ואתחנן פיסקא לב </w:t>
      </w:r>
    </w:p>
    <w:p w:rsidR="00332A70" w:rsidRDefault="00332A70" w:rsidP="00332A70">
      <w:pPr>
        <w:bidi/>
        <w:rPr>
          <w:rFonts w:cs="David"/>
          <w:sz w:val="28"/>
          <w:szCs w:val="28"/>
        </w:rPr>
      </w:pPr>
      <w:r>
        <w:rPr>
          <w:rFonts w:cs="David" w:hint="cs"/>
          <w:sz w:val="28"/>
          <w:szCs w:val="28"/>
          <w:rtl/>
        </w:rPr>
        <w:t>דבר אחר ואהבת את ה' אלהיך, אהבהו על הבריות כאברהם אביך כענין שנאמר +בראשית יב ה+ ואת הנפש אשר עשו בחרן</w:t>
      </w:r>
      <w:r>
        <w:rPr>
          <w:rFonts w:cs="David"/>
          <w:sz w:val="28"/>
          <w:szCs w:val="28"/>
        </w:rPr>
        <w:t>,</w:t>
      </w:r>
    </w:p>
    <w:sectPr w:rsidR="00332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70"/>
    <w:rsid w:val="000364F5"/>
    <w:rsid w:val="00332A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Yitzchak.Weber</dc:creator>
  <cp:lastModifiedBy>Yitzchak.Weber</cp:lastModifiedBy>
  <cp:revision>1</cp:revision>
  <dcterms:created xsi:type="dcterms:W3CDTF">2015-08-03T16:21:00Z</dcterms:created>
  <dcterms:modified xsi:type="dcterms:W3CDTF">2015-08-03T16:30:00Z</dcterms:modified>
</cp:coreProperties>
</file>