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279D"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תלמוד בבלי מסכת ברכות דף יד עמוד א</w:t>
      </w:r>
    </w:p>
    <w:p w14:paraId="61077EC3" w14:textId="77777777" w:rsidR="00BE4C10" w:rsidRDefault="00BE4C10" w:rsidP="002C0828">
      <w:pPr>
        <w:pStyle w:val="NoSpacing"/>
        <w:bidi/>
        <w:ind w:left="27"/>
        <w:rPr>
          <w:rtl/>
        </w:rPr>
      </w:pPr>
      <w:r>
        <w:rPr>
          <w:rFonts w:cs="Arial"/>
          <w:rtl/>
        </w:rPr>
        <w:t>בעי מיניה אשיאן תנא דבי רבי אמי מרבי אמי: השרוי בתענית מהו שיטעום? אכילה ושתיה קביל עליה - והא ליכא, או דילמא הנאה קביל עליה - והא איכא? אמר ליה: טועם ואין בכך כלום. תניא נמי הכי: מטעמת אינה טעונה ברכה, והשרוי בתענית טועם ואין בכך כלום. עד כמה? רבי אמי ורבי אסי טעמי עד שיעור רביעתא</w:t>
      </w:r>
      <w:r>
        <w:t>.</w:t>
      </w:r>
    </w:p>
    <w:p w14:paraId="7796D8AD"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תוספות מסכת ברכות דף יד עמוד א</w:t>
      </w:r>
    </w:p>
    <w:p w14:paraId="71035CE1" w14:textId="77777777" w:rsidR="00BE4C10" w:rsidRDefault="00BE4C10" w:rsidP="002C0828">
      <w:pPr>
        <w:pStyle w:val="NoSpacing"/>
        <w:bidi/>
        <w:ind w:left="27"/>
      </w:pPr>
      <w:r>
        <w:rPr>
          <w:rFonts w:cs="Arial"/>
          <w:rtl/>
        </w:rPr>
        <w:t>או דילמא הנאה קביל עליה - האי לישנא משמע דמיירי בתענית יחיד שקבל עליו אבל בתענית הכתוב לא</w:t>
      </w:r>
      <w:r>
        <w:t>.</w:t>
      </w:r>
    </w:p>
    <w:p w14:paraId="44D726D1" w14:textId="77777777" w:rsidR="00BE4C10" w:rsidRDefault="00BE4C10" w:rsidP="002C0828">
      <w:pPr>
        <w:pStyle w:val="NoSpacing"/>
        <w:bidi/>
        <w:ind w:left="27"/>
        <w:rPr>
          <w:rtl/>
        </w:rPr>
      </w:pPr>
      <w:r>
        <w:rPr>
          <w:rFonts w:cs="Arial"/>
          <w:rtl/>
        </w:rPr>
        <w:t>טועם ואין בכך כלום - פירש ר"ח שחוזר ופולט דלא חשיב הנאה מן הטעימה אבל בולע לא אפילו בשאר תעניות ומשום הכי הפולט אינו צריך ברכה שאינו נהנה</w:t>
      </w:r>
      <w:r>
        <w:t>.</w:t>
      </w:r>
    </w:p>
    <w:p w14:paraId="0CF8EA68"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חידושי הרשב"א מסכת ברכות דף יד עמוד א</w:t>
      </w:r>
    </w:p>
    <w:p w14:paraId="44456063" w14:textId="77777777" w:rsidR="00BE4C10" w:rsidRDefault="00BE4C10" w:rsidP="002C0828">
      <w:pPr>
        <w:pStyle w:val="NoSpacing"/>
        <w:bidi/>
        <w:ind w:left="27"/>
        <w:rPr>
          <w:rtl/>
        </w:rPr>
      </w:pPr>
      <w:r>
        <w:rPr>
          <w:rFonts w:cs="Arial"/>
          <w:rtl/>
        </w:rPr>
        <w:t>רב אמי ורב אסי טעמי עד שיעור רביעתא, כתב רבינו האי גאון ז"ל דאפי' בפעם אחת אם יודע בעצמו שיכול להעמיד עצמו שלא יבלע כלום</w:t>
      </w:r>
      <w:r>
        <w:t>.</w:t>
      </w:r>
    </w:p>
    <w:p w14:paraId="348F902E"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רא"ש מסכת ברכות פרק ב סימן ו</w:t>
      </w:r>
    </w:p>
    <w:p w14:paraId="029B02DD" w14:textId="77777777" w:rsidR="00BE4C10" w:rsidRDefault="00BE4C10" w:rsidP="002C0828">
      <w:pPr>
        <w:pStyle w:val="NoSpacing"/>
        <w:bidi/>
        <w:ind w:left="27"/>
        <w:rPr>
          <w:rtl/>
        </w:rPr>
      </w:pPr>
      <w:r>
        <w:rPr>
          <w:rFonts w:cs="Arial"/>
          <w:rtl/>
        </w:rPr>
        <w:t>ו [דף יד ע"א] בעי מיניה אשיאן תנא דבי ר' אמי מר' אמי השרוי בתענית מהו שיטעום אכילה ושתיה קביל עליה והא ליכא[יא] או דלמא הנאה קביל עליה והא איכאכה א"ל טועם ואין בכך כלום תניא נמי הכי(פ) מטעמת אינה טעונה ברכה והשרוי בתענית טועם ואין בכך כלום. עד כמה. רבי אמי ורבי אסי טעמי עד שיעור רביעית. טועם ואין בכך כלום פירש רב חננאלכו כגון שחוזר ופולטו הלכך לא חשיבא הטעימה הנאהכז וגם א"צ ברכה ומיהו דוקא רביעיתכח(צ) אבל טפי מרביעית חשיבא הנאה לענין תענית. ומיהו נראה דברכה לא צריך כיון שאינו נהנה בתוך מעיו</w:t>
      </w:r>
      <w:r>
        <w:t>:</w:t>
      </w:r>
    </w:p>
    <w:p w14:paraId="0FC99D13"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בית הבחירה (מאירי) מסכת ברכות דף יד עמוד א</w:t>
      </w:r>
    </w:p>
    <w:p w14:paraId="449B8BA4" w14:textId="77777777" w:rsidR="00BE4C10" w:rsidRDefault="00BE4C10" w:rsidP="002C0828">
      <w:pPr>
        <w:pStyle w:val="NoSpacing"/>
        <w:bidi/>
        <w:ind w:left="27"/>
        <w:rPr>
          <w:rtl/>
        </w:rPr>
      </w:pPr>
      <w:r>
        <w:rPr>
          <w:rFonts w:cs="Arial"/>
          <w:rtl/>
        </w:rPr>
        <w:t>השרוי בתענית רשאי הוא לטעום עד רביעית משקה ובלבד שיזהר שלא יבלע וטעימה זו אינה צריכה ברכה ודבר זה אין ראוי להקל בו שכמה גרונות תרבותן רעה וקשה להוציא מידן מה שהתחילו להחזיק בו ומקצת גאוני ספרד כתבו שלא הקלו בכך אלא בתענית יחיד הא בתענית צבור או אחד מתעניות הכתובים לא ואיני רואה מה הפרש בין זה לזה</w:t>
      </w:r>
      <w:r>
        <w:t>:</w:t>
      </w:r>
    </w:p>
    <w:p w14:paraId="1E48E3BA"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רמב"ם הלכות תעניות פרק א הלכה יד</w:t>
      </w:r>
    </w:p>
    <w:p w14:paraId="6D55258B" w14:textId="77777777" w:rsidR="00BE4C10" w:rsidRDefault="00BE4C10" w:rsidP="002C0828">
      <w:pPr>
        <w:pStyle w:val="NoSpacing"/>
        <w:bidi/>
        <w:ind w:left="27"/>
        <w:rPr>
          <w:rFonts w:cs="Arial"/>
          <w:rtl/>
        </w:rPr>
      </w:pPr>
      <w:r>
        <w:rPr>
          <w:rFonts w:cs="Arial"/>
          <w:rtl/>
        </w:rPr>
        <w:t>כל השרוי בתענית, בין שהיה מתענה על צרתו או על חלומו בין שהיה מתענה עם הצבור על צרתם, הרי זה לא ינהוג עידונין בעצמו ולא יקל ראשו ולא יהיה שמח וטוב לב אלא דואג ואונן כענין שנאמר +איכה ג'+ מה יתאונן אדם חי גבר על חטאיו, ומותר לו לטעום את התבשיל ואפילו בכדי רביעית והוא שלא יבלע אלא טועם ל ופולט, שכח ואכל משלים תעניתו</w:t>
      </w:r>
    </w:p>
    <w:p w14:paraId="768E3091"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שולחן ערוך אורח חיים הלכות תענית סימן תקסז סעיף א</w:t>
      </w:r>
    </w:p>
    <w:p w14:paraId="47EA1A3E" w14:textId="77777777" w:rsidR="00BE4C10" w:rsidRDefault="00BE4C10" w:rsidP="002C0828">
      <w:pPr>
        <w:pStyle w:val="NoSpacing"/>
        <w:bidi/>
        <w:ind w:left="27"/>
        <w:rPr>
          <w:rtl/>
        </w:rPr>
      </w:pPr>
      <w:r>
        <w:rPr>
          <w:rFonts w:cs="Arial"/>
          <w:rtl/>
        </w:rPr>
        <w:t>השרוי בתענית (א) א &lt;א&gt; יכול לטעום כדי (ב) ב {א} רביעית, (ג) ובלבד שיפלוט; * (ד) וביום הכפורים ובתשעה באב, אסור. הגה: ויש מחמירין (ה) ג בכל תענית צבור, (ו) והכי נוהגין (תוספות והגהות מיימוני פ"א ות"ה סימן קנ"ח)</w:t>
      </w:r>
      <w:r>
        <w:t>.</w:t>
      </w:r>
    </w:p>
    <w:p w14:paraId="7AFDA831"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משנה ברורה סימן תקסז ס"ק ד</w:t>
      </w:r>
    </w:p>
    <w:p w14:paraId="702A60AD" w14:textId="77777777" w:rsidR="00BE4C10" w:rsidRDefault="00BE4C10" w:rsidP="002C0828">
      <w:pPr>
        <w:pStyle w:val="NoSpacing"/>
        <w:bidi/>
        <w:ind w:left="27"/>
        <w:rPr>
          <w:rtl/>
        </w:rPr>
      </w:pPr>
      <w:r>
        <w:rPr>
          <w:rFonts w:cs="Arial"/>
          <w:rtl/>
        </w:rPr>
        <w:t>(ד) וביוה"כ ובט"ב אסור - דא"א לומר שלא קיבל עליה דלאו בקבלתו תליא[ג] ואפילו בפחות מרביעית אסור</w:t>
      </w:r>
      <w:r>
        <w:t>:</w:t>
      </w:r>
    </w:p>
    <w:p w14:paraId="24CBB6E0" w14:textId="77777777" w:rsidR="00BE4C10" w:rsidRPr="00087CB0" w:rsidRDefault="00BE4C10" w:rsidP="002C0828">
      <w:pPr>
        <w:pStyle w:val="NoSpacing"/>
        <w:numPr>
          <w:ilvl w:val="0"/>
          <w:numId w:val="1"/>
        </w:numPr>
        <w:bidi/>
        <w:ind w:left="27"/>
        <w:rPr>
          <w:b/>
          <w:bCs/>
          <w:u w:val="single"/>
        </w:rPr>
      </w:pPr>
      <w:r w:rsidRPr="00087CB0">
        <w:rPr>
          <w:rFonts w:cs="Arial"/>
          <w:b/>
          <w:bCs/>
          <w:u w:val="single"/>
          <w:rtl/>
        </w:rPr>
        <w:t>ביאור הלכה סימן תקסז סעיף א ד"ה * וביוה"כ ות"ב</w:t>
      </w:r>
    </w:p>
    <w:p w14:paraId="363363C0" w14:textId="468F412A" w:rsidR="00BE4C10" w:rsidRDefault="00BE4C10" w:rsidP="002C0828">
      <w:pPr>
        <w:pStyle w:val="NoSpacing"/>
        <w:bidi/>
        <w:ind w:left="27"/>
        <w:rPr>
          <w:rtl/>
        </w:rPr>
      </w:pPr>
      <w:r>
        <w:t xml:space="preserve">* </w:t>
      </w:r>
      <w:r>
        <w:rPr>
          <w:rFonts w:cs="Arial"/>
          <w:rtl/>
        </w:rPr>
        <w:t>וביוה"כ ות"ב - הטעם כתבנו במ"ב משום דאינהו לא בקבלתו תלוי ולא שייך לומר בהו דרק מאכילה ושתיה קביל עליה ולא מהנאה [שהוא טעם היתר הטעימה כמבואר בש"ס] ושנוי להמחבר יוה"כ ות"ב משארי תעניות צבור הכתובים אף דהם נמי א"צ קבלה משום דאינהו אין חיובן גדול כ"כ וברצון תלוי כ"ז מבואר מדברי הרב"י בשם הריב"ש. ובאשכול ראיתי שהעתיק את דברי הר"י אברצלוני שממנו נובע הדין לאסור הטעימה ביוה"כ ות"ב. דהטעם דקיי"ל אסור להושיט ידו למים באלו וכל הנאה אסורה עכ"ל. וכונתו כמו לענין רחיצה לאו רחיצה ממש אסרו אלא אפילו הושטת יד למים ה"ה לענין אכילה לאו אכילה ממש דוקא אלא ה"ה כל הנאה של אכילה ולטעם זה פשוט דוקא ביוה"כ ות"ב אסור אכן הרמ"א העתיק דעת התוספת דכל תענית שא"צ קבלה אסור</w:t>
      </w:r>
      <w:r>
        <w:t>:</w:t>
      </w:r>
    </w:p>
    <w:p w14:paraId="278F12D9" w14:textId="77777777" w:rsidR="00BE4C10" w:rsidRPr="00C04788" w:rsidRDefault="00BE4C10" w:rsidP="002C0828">
      <w:pPr>
        <w:pStyle w:val="NoSpacing"/>
        <w:numPr>
          <w:ilvl w:val="0"/>
          <w:numId w:val="1"/>
        </w:numPr>
        <w:bidi/>
        <w:ind w:left="27"/>
        <w:rPr>
          <w:b/>
          <w:bCs/>
          <w:u w:val="single"/>
        </w:rPr>
      </w:pPr>
      <w:r w:rsidRPr="00C04788">
        <w:rPr>
          <w:rFonts w:cs="Arial"/>
          <w:b/>
          <w:bCs/>
          <w:u w:val="single"/>
          <w:rtl/>
        </w:rPr>
        <w:t>משנה ברורה סימן תקסז ס"ק ו</w:t>
      </w:r>
    </w:p>
    <w:p w14:paraId="00C3C2B4" w14:textId="4F863616" w:rsidR="00BE4C10" w:rsidRDefault="00BE4C10" w:rsidP="002C0828">
      <w:pPr>
        <w:pStyle w:val="NoSpacing"/>
        <w:bidi/>
        <w:ind w:left="27"/>
        <w:rPr>
          <w:rtl/>
        </w:rPr>
      </w:pPr>
      <w:r>
        <w:rPr>
          <w:rFonts w:cs="Arial"/>
          <w:rtl/>
        </w:rPr>
        <w:t>(ו) והכי נוהגין - ובמקום סעודת מצוה שמבשלין ביום לצורך הלילה יש לסמוך אדעה ראשונה להתיר בשארי תעניתים לטעום התבשיל מעט מעט אם יש בו מלח ותבלין ולפלוט [ח"א]</w:t>
      </w:r>
      <w:r>
        <w:t>:</w:t>
      </w:r>
    </w:p>
    <w:p w14:paraId="0FD3BA87" w14:textId="77777777" w:rsidR="00BE4C10" w:rsidRPr="00C04788" w:rsidRDefault="00BE4C10" w:rsidP="002C0828">
      <w:pPr>
        <w:pStyle w:val="NoSpacing"/>
        <w:numPr>
          <w:ilvl w:val="0"/>
          <w:numId w:val="1"/>
        </w:numPr>
        <w:bidi/>
        <w:ind w:left="27"/>
        <w:rPr>
          <w:b/>
          <w:bCs/>
          <w:u w:val="single"/>
        </w:rPr>
      </w:pPr>
      <w:r w:rsidRPr="00C04788">
        <w:rPr>
          <w:rFonts w:cs="Arial"/>
          <w:b/>
          <w:bCs/>
          <w:u w:val="single"/>
          <w:rtl/>
        </w:rPr>
        <w:t>רמב"ם הלכות ברכות פרק א הלכה ב</w:t>
      </w:r>
    </w:p>
    <w:p w14:paraId="6AD5BB83" w14:textId="15F06F59" w:rsidR="002C0828" w:rsidRDefault="00BE4C10" w:rsidP="002C0828">
      <w:pPr>
        <w:pStyle w:val="NoSpacing"/>
        <w:bidi/>
        <w:ind w:left="27"/>
      </w:pPr>
      <w:r>
        <w:rPr>
          <w:rFonts w:cs="Arial"/>
          <w:rtl/>
        </w:rPr>
        <w:t xml:space="preserve">ומדברי סופרים לברך על כל מאכל תחלה ואח"כ יהנה ממנו, ואפילו </w:t>
      </w:r>
      <w:r w:rsidRPr="00C04788">
        <w:rPr>
          <w:rFonts w:cs="Arial"/>
          <w:u w:val="single"/>
          <w:rtl/>
        </w:rPr>
        <w:t xml:space="preserve">נתכוין לאכול או לשתות </w:t>
      </w:r>
      <w:r>
        <w:rPr>
          <w:rFonts w:cs="Arial"/>
          <w:rtl/>
        </w:rPr>
        <w:t>כל שהוא מברך ואח"כ יהנה, וכן אם הריח ריח טוב מברך ואח"כ יהנה ממנו, וכל הנהנה בלא ברכה מעל, וכן מדברי סופרים לברך אחר כל מה שיאכל וכל מה שישתה, והוא שישתה רביעית והוא שיאכל כזית, * ומטעמת אינה צריכה ברכה לא לפניה ולא לאחריה עד רביעית</w:t>
      </w:r>
      <w:r>
        <w:t>.</w:t>
      </w:r>
    </w:p>
    <w:p w14:paraId="43EC5D08" w14:textId="77777777" w:rsidR="002C0828" w:rsidRDefault="002C0828">
      <w:r>
        <w:br w:type="page"/>
      </w:r>
    </w:p>
    <w:p w14:paraId="57DD5EC1" w14:textId="77777777" w:rsidR="00BE4C10" w:rsidRPr="00C04788" w:rsidRDefault="00BE4C10" w:rsidP="002C0828">
      <w:pPr>
        <w:pStyle w:val="NoSpacing"/>
        <w:numPr>
          <w:ilvl w:val="0"/>
          <w:numId w:val="1"/>
        </w:numPr>
        <w:bidi/>
        <w:ind w:left="27"/>
        <w:rPr>
          <w:b/>
          <w:bCs/>
          <w:u w:val="single"/>
        </w:rPr>
      </w:pPr>
      <w:bookmarkStart w:id="0" w:name="_GoBack"/>
      <w:bookmarkEnd w:id="0"/>
      <w:r w:rsidRPr="00C04788">
        <w:rPr>
          <w:rFonts w:cs="Arial"/>
          <w:b/>
          <w:bCs/>
          <w:u w:val="single"/>
          <w:rtl/>
        </w:rPr>
        <w:lastRenderedPageBreak/>
        <w:t>כסף משנה הלכות ברכות פרק א הלכה ב</w:t>
      </w:r>
    </w:p>
    <w:p w14:paraId="53D270B7" w14:textId="32861F16" w:rsidR="00BE4C10" w:rsidRDefault="00BE4C10" w:rsidP="002C0828">
      <w:pPr>
        <w:pStyle w:val="NoSpacing"/>
        <w:bidi/>
        <w:ind w:left="27"/>
        <w:rPr>
          <w:rtl/>
        </w:rPr>
      </w:pPr>
      <w:r>
        <w:rPr>
          <w:rFonts w:cs="Arial"/>
          <w:rtl/>
        </w:rPr>
        <w:t>ומטעמת א"צ ברכה וכו'. ברייתא פרק היה קורא (ברכות דף י"ד) מטעמת אינה טעונה ברכה והשרוי בתענית פולט ואין בכך כלום ר' אמי ור' אסי טעמו עד שיעור רביעתא וכיון דתענית וברכה שוין ממילא דרביעית בעי ברכה וכן כי אמרו דלא בעי ברכה ל"ש לפניו מלאחריו. וכתב ר"ח דהיינו כגון שחוזר ופולטו וכן כתב הרי"ף בפ"א דתעניות. וכתב הרא"ש שם דטפי מרביעית אף על פי שפולטו חשובה הנאה לענין תענית אבל לא לענין ברכה דהא בעינן שיהנה בתוך מעיו וכן נראה שהוא דעת רבינו דגבי תענית כתב בפרק ראשון מהלכות תענית והוא שלא יבלע אלא טועם ופולט ולגבי ברכה כאן סתם דבריו נראה שאפילו בולע נמי אינה צריכה ברכה ואפשר לתת סמך לדבר דטעמא משום דכתיב ואכלת וברכת שיהא לו כוונת אכילה משמע ורביעית אף על פי שהיא מטעמת כוונת אכילה יש לה וכן פירש ה"ר מנוח. ואף ע"ג דהאי קרא לענין ברכה אחרונה מיירי מ"מ יש לסמוך למקרא זה ברכה ראשונה</w:t>
      </w:r>
      <w:r>
        <w:t>:</w:t>
      </w:r>
    </w:p>
    <w:p w14:paraId="3E2B4459" w14:textId="77777777" w:rsidR="00087CB0" w:rsidRPr="00C04788" w:rsidRDefault="00087CB0" w:rsidP="002C0828">
      <w:pPr>
        <w:pStyle w:val="NoSpacing"/>
        <w:numPr>
          <w:ilvl w:val="0"/>
          <w:numId w:val="1"/>
        </w:numPr>
        <w:bidi/>
        <w:ind w:left="27"/>
        <w:rPr>
          <w:b/>
          <w:bCs/>
          <w:u w:val="single"/>
        </w:rPr>
      </w:pPr>
      <w:r w:rsidRPr="00C04788">
        <w:rPr>
          <w:rFonts w:cs="Arial"/>
          <w:b/>
          <w:bCs/>
          <w:u w:val="single"/>
          <w:rtl/>
        </w:rPr>
        <w:t>רשימות שיעורים (רי"ד סולובייצ'יק) מסכת ברכות דף יד עמוד א</w:t>
      </w:r>
    </w:p>
    <w:p w14:paraId="1CE9D93C" w14:textId="77777777" w:rsidR="00087CB0" w:rsidRDefault="00087CB0" w:rsidP="002C0828">
      <w:pPr>
        <w:pStyle w:val="NoSpacing"/>
        <w:bidi/>
        <w:ind w:left="27"/>
      </w:pPr>
      <w:r>
        <w:rPr>
          <w:rFonts w:cs="Arial"/>
          <w:rtl/>
        </w:rPr>
        <w:t>תוס' ד"ה טועם. וז"ל פירש ר"ח שחוזר ופולט דלא חשיב הנאה מן הטעימה וכו' ומשום הכי הפולט אינו צריך ברכה שאינו נהנה עכ"ל. כתב הרמב"ם (פ"א הי"ד מהל' תענית) וז"ל ומותר לו לטעום את התבשיל ואפילו בכדי רביעית והוא שלא יבלע אלא טועם ופולט עכ"ל, ומבואר דסובר דטעימה אינה מותרת אא"כ פולט. אמנם עיין ברמב"ם (פ"א מהל' ברכות ה"ב) שכתב וז"ל ומטעמת אינה צריכה ברכה לא לפניה ולא לאחריה עד רביעית עכ"ל, ומסתימת לשונו משמע שאף אם אם טועם ובולע אינו צריך לברך, וצ"ע מ"ש דלגבי תענית הרמב"ם אינו מתיר טעימה אא"כ פולט, ואילו לגבי ברכה אפילו אם בולע אינו מברך</w:t>
      </w:r>
      <w:r>
        <w:t>.</w:t>
      </w:r>
    </w:p>
    <w:p w14:paraId="6B98CB62" w14:textId="77777777" w:rsidR="00087CB0" w:rsidRDefault="00087CB0" w:rsidP="002C0828">
      <w:pPr>
        <w:pStyle w:val="NoSpacing"/>
        <w:bidi/>
        <w:ind w:left="27"/>
      </w:pPr>
      <w:r>
        <w:rPr>
          <w:rFonts w:cs="Arial"/>
          <w:rtl/>
        </w:rPr>
        <w:t>ונראה דלשיטת הרמב"ם יש ב' מחייבים בברכה: א) מעשה אכילה, ב) הנאת אכילה, וכדין ברכת הריח (ברכות מד ב) דמברכין על הנאת הריח. וי"ל דחובת ברכה משום מעשה אכילה תלוי בשיעור אכילה, ואם אכל פחות מכשיעור אינו חייב לברך מדין אכילה אלא מדין הנאה. ובטעימה פחות מכשיעור סובר הרמב"ם שאע"פ שבלע אינו מברך, דליכא שום מחייב דברכה, דמצד מעשה האכילה פטור משום שאכל פחות מכשיעור דלא נחשב למעשה אכילה, ומצד המחייב של הנאה מכיון שמתכוון לשם טעימה ליכא הנאה המחייבת בברכה ומשו"ה אינו צריך לברך. ולפי"ז מבואר דקדוק לשון הרמב"ם דפסק דאין צריך לברך עד רביעית ומשמע דבטועם יותר מרביעית אף על פי שאינו מתכוון להנאתו וליכא מחייב דהנאה מ"מ מתחייב בברכה משום דאיכא מעשה אכילה44</w:t>
      </w:r>
      <w:r>
        <w:t>).</w:t>
      </w:r>
    </w:p>
    <w:p w14:paraId="4DA14DC6" w14:textId="77777777" w:rsidR="00087CB0" w:rsidRPr="00C04788" w:rsidRDefault="00087CB0" w:rsidP="002C0828">
      <w:pPr>
        <w:pStyle w:val="NoSpacing"/>
        <w:numPr>
          <w:ilvl w:val="0"/>
          <w:numId w:val="1"/>
        </w:numPr>
        <w:bidi/>
        <w:ind w:left="27"/>
        <w:rPr>
          <w:b/>
          <w:bCs/>
          <w:u w:val="single"/>
        </w:rPr>
      </w:pPr>
      <w:r w:rsidRPr="00C04788">
        <w:rPr>
          <w:rFonts w:cs="Arial"/>
          <w:b/>
          <w:bCs/>
          <w:u w:val="single"/>
          <w:rtl/>
        </w:rPr>
        <w:t>שולחן ערוך אורח חיים הלכות ברכת הפירות סימן רי סעיף ב</w:t>
      </w:r>
    </w:p>
    <w:p w14:paraId="5E634FA7" w14:textId="453B045A" w:rsidR="00087CB0" w:rsidRDefault="00087CB0" w:rsidP="002C0828">
      <w:pPr>
        <w:pStyle w:val="NoSpacing"/>
        <w:bidi/>
        <w:ind w:left="27"/>
        <w:rPr>
          <w:rtl/>
        </w:rPr>
      </w:pPr>
      <w:r>
        <w:rPr>
          <w:rFonts w:cs="Arial"/>
          <w:rtl/>
        </w:rPr>
        <w:t>(יג) ו ב') ח] הטועם {א*} את התבשיל ט] אינו צריך לברך * (יד) ז י] עד רביעית, (טו) &lt;ד&gt; ה) ואפילו אם הוא בולעו; וי"א שאם הוא בולעו (טז) ח יא] טעון ברכה, ולא פטרו את הטועם אלא (יז) ט יב] כשחוזר [ט] ופולט (יח) ואז אפילו על הרבה אינו צריך ברכה. הגה: (יט) י ו) {ב} יג] וספק ברכות להקל</w:t>
      </w:r>
      <w:r>
        <w:t>.</w:t>
      </w:r>
    </w:p>
    <w:p w14:paraId="334037CC" w14:textId="77777777" w:rsidR="00087CB0" w:rsidRPr="00C04788" w:rsidRDefault="00087CB0" w:rsidP="002C0828">
      <w:pPr>
        <w:pStyle w:val="NoSpacing"/>
        <w:numPr>
          <w:ilvl w:val="0"/>
          <w:numId w:val="1"/>
        </w:numPr>
        <w:bidi/>
        <w:ind w:left="27"/>
        <w:rPr>
          <w:b/>
          <w:bCs/>
          <w:u w:val="single"/>
        </w:rPr>
      </w:pPr>
      <w:r w:rsidRPr="00C04788">
        <w:rPr>
          <w:rFonts w:cs="Arial"/>
          <w:b/>
          <w:bCs/>
          <w:u w:val="single"/>
          <w:rtl/>
        </w:rPr>
        <w:t>מגן אברהם על שולחן ערוך אורח חיים הלכות ברכת הפירות סימן רי סעיף ב</w:t>
      </w:r>
    </w:p>
    <w:p w14:paraId="0422C691" w14:textId="188C44B9" w:rsidR="00087CB0" w:rsidRDefault="00087CB0" w:rsidP="002C0828">
      <w:pPr>
        <w:pStyle w:val="NoSpacing"/>
        <w:bidi/>
        <w:ind w:left="27"/>
        <w:rPr>
          <w:rtl/>
        </w:rPr>
      </w:pPr>
      <w:r>
        <w:rPr>
          <w:rFonts w:cs="Arial"/>
          <w:rtl/>
        </w:rPr>
        <w:t>י (פמ"ג) (מחה"ש) וספק ברכות להקל. ול"נ דאין כאן ספק דלא מצינו שום פוסק שכת' בהדיא דבולע פטור ובירו' איתא בהדיא ולא אמרן אלא אם בלע אבל אם טעם לא ותענית וברכה בהדי הדדי איתמר ע' ברי"ף פ"ק דתענית ובב"י כאן לכן נ"ל לברך אם בולע אפילו מעט</w:t>
      </w:r>
      <w:r>
        <w:t>:</w:t>
      </w:r>
    </w:p>
    <w:p w14:paraId="366DC942" w14:textId="77777777" w:rsidR="00087CB0" w:rsidRPr="00C04788" w:rsidRDefault="00087CB0" w:rsidP="002C0828">
      <w:pPr>
        <w:pStyle w:val="NoSpacing"/>
        <w:numPr>
          <w:ilvl w:val="0"/>
          <w:numId w:val="1"/>
        </w:numPr>
        <w:bidi/>
        <w:ind w:left="27"/>
        <w:rPr>
          <w:b/>
          <w:bCs/>
          <w:u w:val="single"/>
        </w:rPr>
      </w:pPr>
      <w:r w:rsidRPr="00C04788">
        <w:rPr>
          <w:rFonts w:cs="Arial"/>
          <w:b/>
          <w:bCs/>
          <w:u w:val="single"/>
          <w:rtl/>
        </w:rPr>
        <w:t>משנה ברורה סימן רי ס"ק יט</w:t>
      </w:r>
    </w:p>
    <w:p w14:paraId="5835294C" w14:textId="2CCEBB19" w:rsidR="00087CB0" w:rsidRPr="00BE4C10" w:rsidRDefault="00087CB0" w:rsidP="002C0828">
      <w:pPr>
        <w:pStyle w:val="NoSpacing"/>
        <w:bidi/>
        <w:ind w:left="27"/>
      </w:pPr>
      <w:r>
        <w:rPr>
          <w:rFonts w:cs="Arial"/>
          <w:rtl/>
        </w:rPr>
        <w:t>(יט) וספק ברכות להקל - היינו באפילו אם הוא בולע לא יברך כיון שאין כונתו לאכילה וכסברא הראשונה. והנה המ"א חולק על השו"ע והרמ"א וס"ל דבבולע לכו"ע חייב לברך[לו] אבל כמה אחרונים החליטו עם פסק הרמ"א דהוא ספק ברכה ולא יברך ולכתחלה טוב ליזהר הרוצה לבלוע שיתכוין ליהנות ממנו בתורת אכילה ויברך עליו [ח"א]</w:t>
      </w:r>
      <w:r>
        <w:t>:</w:t>
      </w:r>
    </w:p>
    <w:sectPr w:rsidR="00087CB0" w:rsidRPr="00BE4C10" w:rsidSect="002C082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76D1" w14:textId="77777777" w:rsidR="00A6320D" w:rsidRDefault="00A6320D" w:rsidP="002C0828">
      <w:pPr>
        <w:spacing w:after="0" w:line="240" w:lineRule="auto"/>
      </w:pPr>
      <w:r>
        <w:separator/>
      </w:r>
    </w:p>
  </w:endnote>
  <w:endnote w:type="continuationSeparator" w:id="0">
    <w:p w14:paraId="65A272A8" w14:textId="77777777" w:rsidR="00A6320D" w:rsidRDefault="00A6320D" w:rsidP="002C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DD30C" w14:textId="77777777" w:rsidR="00A6320D" w:rsidRDefault="00A6320D" w:rsidP="002C0828">
      <w:pPr>
        <w:spacing w:after="0" w:line="240" w:lineRule="auto"/>
      </w:pPr>
      <w:r>
        <w:separator/>
      </w:r>
    </w:p>
  </w:footnote>
  <w:footnote w:type="continuationSeparator" w:id="0">
    <w:p w14:paraId="318DAE6D" w14:textId="77777777" w:rsidR="00A6320D" w:rsidRDefault="00A6320D" w:rsidP="002C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E887" w14:textId="4BBCD296" w:rsidR="002C0828" w:rsidRDefault="002C0828" w:rsidP="002C0828">
    <w:pPr>
      <w:pStyle w:val="Header"/>
      <w:bidi/>
      <w:jc w:val="center"/>
    </w:pPr>
    <w:r w:rsidRPr="002C0828">
      <w:rPr>
        <w:rFonts w:hint="cs"/>
        <w:sz w:val="44"/>
        <w:szCs w:val="44"/>
        <w:rtl/>
      </w:rPr>
      <w:t xml:space="preserve">הלכות ברכות </w:t>
    </w:r>
    <w:r w:rsidRPr="002C0828">
      <w:rPr>
        <w:sz w:val="44"/>
        <w:szCs w:val="44"/>
        <w:rtl/>
      </w:rPr>
      <w:t>–</w:t>
    </w:r>
    <w:r w:rsidRPr="002C0828">
      <w:rPr>
        <w:rFonts w:hint="cs"/>
        <w:sz w:val="44"/>
        <w:szCs w:val="44"/>
        <w:rtl/>
      </w:rPr>
      <w:t xml:space="preserve"> טעימות </w:t>
    </w:r>
    <w:r>
      <w:rPr>
        <w:rFonts w:hint="cs"/>
        <w:rtl/>
      </w:rPr>
      <w:t>פ' וירא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93564"/>
    <w:multiLevelType w:val="hybridMultilevel"/>
    <w:tmpl w:val="1D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10"/>
    <w:rsid w:val="00087CB0"/>
    <w:rsid w:val="002C0828"/>
    <w:rsid w:val="00A6320D"/>
    <w:rsid w:val="00BE4C10"/>
    <w:rsid w:val="00C04788"/>
    <w:rsid w:val="00FA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CB0"/>
    <w:pPr>
      <w:spacing w:after="0" w:line="240" w:lineRule="auto"/>
    </w:pPr>
  </w:style>
  <w:style w:type="paragraph" w:styleId="Header">
    <w:name w:val="header"/>
    <w:basedOn w:val="Normal"/>
    <w:link w:val="HeaderChar"/>
    <w:uiPriority w:val="99"/>
    <w:unhideWhenUsed/>
    <w:rsid w:val="002C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28"/>
  </w:style>
  <w:style w:type="paragraph" w:styleId="Footer">
    <w:name w:val="footer"/>
    <w:basedOn w:val="Normal"/>
    <w:link w:val="FooterChar"/>
    <w:uiPriority w:val="99"/>
    <w:unhideWhenUsed/>
    <w:rsid w:val="002C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CB0"/>
    <w:pPr>
      <w:spacing w:after="0" w:line="240" w:lineRule="auto"/>
    </w:pPr>
  </w:style>
  <w:style w:type="paragraph" w:styleId="Header">
    <w:name w:val="header"/>
    <w:basedOn w:val="Normal"/>
    <w:link w:val="HeaderChar"/>
    <w:uiPriority w:val="99"/>
    <w:unhideWhenUsed/>
    <w:rsid w:val="002C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28"/>
  </w:style>
  <w:style w:type="paragraph" w:styleId="Footer">
    <w:name w:val="footer"/>
    <w:basedOn w:val="Normal"/>
    <w:link w:val="FooterChar"/>
    <w:uiPriority w:val="99"/>
    <w:unhideWhenUsed/>
    <w:rsid w:val="002C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2019-11-08T09:52:00Z</cp:lastPrinted>
  <dcterms:created xsi:type="dcterms:W3CDTF">2019-11-08T07:31:00Z</dcterms:created>
  <dcterms:modified xsi:type="dcterms:W3CDTF">2019-11-08T09:53:00Z</dcterms:modified>
</cp:coreProperties>
</file>