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34DE" w14:textId="04B28F03" w:rsidR="00264375" w:rsidRDefault="000527A0" w:rsidP="00264375">
      <w:pPr>
        <w:jc w:val="center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'</w:t>
      </w:r>
      <w:r w:rsidR="009B76E6">
        <w:rPr>
          <w:rFonts w:hint="cs"/>
          <w:b/>
          <w:bCs/>
          <w:sz w:val="40"/>
          <w:szCs w:val="40"/>
          <w:rtl/>
        </w:rPr>
        <w:t>מצווה הבאה בעבירה</w:t>
      </w:r>
      <w:r>
        <w:rPr>
          <w:rFonts w:hint="cs"/>
          <w:b/>
          <w:bCs/>
          <w:sz w:val="40"/>
          <w:szCs w:val="40"/>
          <w:rtl/>
        </w:rPr>
        <w:t>'</w:t>
      </w:r>
      <w:r w:rsidR="00264375" w:rsidRPr="00264375">
        <w:rPr>
          <w:rFonts w:hint="cs"/>
          <w:sz w:val="40"/>
          <w:szCs w:val="40"/>
          <w:rtl/>
        </w:rPr>
        <w:t xml:space="preserve"> | הרב אריה שטרן שליט"א</w:t>
      </w:r>
    </w:p>
    <w:p w14:paraId="21A69620" w14:textId="77777777" w:rsidR="00264375" w:rsidRPr="00264375" w:rsidRDefault="00264375" w:rsidP="00264375">
      <w:pPr>
        <w:rPr>
          <w:rtl/>
        </w:rPr>
      </w:pPr>
    </w:p>
    <w:p w14:paraId="74511929" w14:textId="0C6B1990" w:rsidR="00D725A5" w:rsidRDefault="00264375">
      <w:pPr>
        <w:rPr>
          <w:rtl/>
        </w:rPr>
      </w:pPr>
      <w:r>
        <w:rPr>
          <w:rFonts w:hint="cs"/>
          <w:rtl/>
        </w:rPr>
        <w:t xml:space="preserve">הפסול הראשון המנוי במסכת סוכה על </w:t>
      </w:r>
      <w:r w:rsidR="00EF78DA">
        <w:rPr>
          <w:rFonts w:hint="cs"/>
          <w:rtl/>
        </w:rPr>
        <w:t>כל אחד מ</w:t>
      </w:r>
      <w:r>
        <w:rPr>
          <w:rFonts w:hint="cs"/>
          <w:rtl/>
        </w:rPr>
        <w:t>ארבעת המינים הוא 'הגזול'. והשאלה היא מדוע?</w:t>
      </w:r>
    </w:p>
    <w:p w14:paraId="31F4DC9B" w14:textId="74C1322C" w:rsidR="00264375" w:rsidRDefault="00264375" w:rsidP="00264375">
      <w:pPr>
        <w:rPr>
          <w:rtl/>
        </w:rPr>
      </w:pPr>
      <w:r>
        <w:rPr>
          <w:rFonts w:hint="cs"/>
          <w:rtl/>
        </w:rPr>
        <w:t>אומרת הגמרא שיש הבדל בין היום הראשון של סוכות לבין ששת הימים, בראשון כתוב</w:t>
      </w:r>
      <w:r w:rsidR="004F3F2F">
        <w:rPr>
          <w:rFonts w:hint="cs"/>
          <w:rtl/>
        </w:rPr>
        <w:t xml:space="preserve"> </w:t>
      </w:r>
      <w:r w:rsidR="004F3F2F" w:rsidRPr="004F3F2F">
        <w:rPr>
          <w:rFonts w:hint="cs"/>
          <w:sz w:val="14"/>
          <w:szCs w:val="14"/>
          <w:rtl/>
        </w:rPr>
        <w:t>(ויקרא, כ"ג, מ')</w:t>
      </w:r>
      <w:r>
        <w:rPr>
          <w:rFonts w:hint="cs"/>
          <w:rtl/>
        </w:rPr>
        <w:t xml:space="preserve">: "ולקחתם לכם ביום הראשון...", ולכאורה המילה 'לכם' מיותרת, אלא שדורשת הגמרא: "לכם </w:t>
      </w:r>
      <w:r>
        <w:rPr>
          <w:rtl/>
        </w:rPr>
        <w:t>–</w:t>
      </w:r>
      <w:r>
        <w:rPr>
          <w:rFonts w:hint="cs"/>
          <w:rtl/>
        </w:rPr>
        <w:t xml:space="preserve"> משלכם", וממילא גזול, פסול. ואומרת הגמרא שזה נכון לגבי היום הראשון, ובששת הימים הנותרים שלא כתוב בהם 'לכם', הגזול פסול משום "דהוי ליה מצווה הבאה בעבירה".</w:t>
      </w:r>
    </w:p>
    <w:p w14:paraId="7487FB9B" w14:textId="2CC2580B" w:rsidR="00264375" w:rsidRDefault="00264375" w:rsidP="00264375">
      <w:pPr>
        <w:rPr>
          <w:rtl/>
        </w:rPr>
      </w:pPr>
      <w:r>
        <w:rPr>
          <w:rFonts w:hint="cs"/>
          <w:rtl/>
        </w:rPr>
        <w:t>ומנין שמצווה הבאה בעבירה פסולה? ועונה הגמרא</w:t>
      </w:r>
      <w:r w:rsidRPr="005906E7">
        <w:rPr>
          <w:rFonts w:hint="cs"/>
          <w:sz w:val="14"/>
          <w:szCs w:val="14"/>
          <w:rtl/>
        </w:rPr>
        <w:t xml:space="preserve"> </w:t>
      </w:r>
      <w:r w:rsidRPr="00264375">
        <w:rPr>
          <w:rFonts w:hint="cs"/>
          <w:sz w:val="14"/>
          <w:szCs w:val="14"/>
          <w:rtl/>
        </w:rPr>
        <w:t>(ל.)</w:t>
      </w:r>
      <w:r w:rsidRPr="005906E7">
        <w:rPr>
          <w:rFonts w:hint="cs"/>
          <w:sz w:val="14"/>
          <w:szCs w:val="14"/>
          <w:rtl/>
        </w:rPr>
        <w:t xml:space="preserve"> </w:t>
      </w:r>
      <w:r>
        <w:rPr>
          <w:rFonts w:hint="cs"/>
          <w:rtl/>
        </w:rPr>
        <w:t xml:space="preserve">ע"פ שני פסוקים מהנביא המדברים על קורבנות, הראשון במלאכי </w:t>
      </w:r>
      <w:r w:rsidRPr="00264375">
        <w:rPr>
          <w:rFonts w:hint="cs"/>
          <w:sz w:val="14"/>
          <w:szCs w:val="14"/>
          <w:rtl/>
        </w:rPr>
        <w:t>(א', י"ג)</w:t>
      </w:r>
      <w:r>
        <w:rPr>
          <w:rFonts w:hint="cs"/>
          <w:rtl/>
        </w:rPr>
        <w:t>: "</w:t>
      </w:r>
      <w:r>
        <w:rPr>
          <w:rtl/>
        </w:rPr>
        <w:t>והבאתם גזול ואת הפסח ואת החולה</w:t>
      </w:r>
      <w:r>
        <w:rPr>
          <w:rFonts w:hint="cs"/>
          <w:rtl/>
        </w:rPr>
        <w:t xml:space="preserve">", ומקור שני מישעיה </w:t>
      </w:r>
      <w:r w:rsidRPr="00264375">
        <w:rPr>
          <w:rFonts w:hint="cs"/>
          <w:sz w:val="14"/>
          <w:szCs w:val="14"/>
          <w:rtl/>
        </w:rPr>
        <w:t>(ס"א, ח')</w:t>
      </w:r>
      <w:r>
        <w:rPr>
          <w:rFonts w:hint="cs"/>
          <w:rtl/>
        </w:rPr>
        <w:t>: "</w:t>
      </w:r>
      <w:r>
        <w:rPr>
          <w:rtl/>
        </w:rPr>
        <w:t>כי אני ה' אהב משפט שונא גזל בעולה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79D428CC" w14:textId="2DB2945B" w:rsidR="00264375" w:rsidRDefault="00264375" w:rsidP="00264375">
      <w:pPr>
        <w:rPr>
          <w:rtl/>
        </w:rPr>
      </w:pPr>
      <w:r>
        <w:rPr>
          <w:rFonts w:hint="cs"/>
          <w:rtl/>
        </w:rPr>
        <w:t>אומר תוס' שאע"פ שהפסוקים מדברים לגבי קורבן, "הוא הדין כל המצוות, דהוי דאורייתא", כלומר  שאע"פ שהמקור הוא פסוק בנביא, הדין הוא מדאורייתא.</w:t>
      </w:r>
    </w:p>
    <w:p w14:paraId="36F24060" w14:textId="40E46A44" w:rsidR="00264375" w:rsidRDefault="00E14A32" w:rsidP="00264375">
      <w:pPr>
        <w:rPr>
          <w:rtl/>
        </w:rPr>
      </w:pPr>
      <w:r>
        <w:rPr>
          <w:rFonts w:hint="cs"/>
          <w:rtl/>
        </w:rPr>
        <w:t>ממשיכים התוס' ו</w:t>
      </w:r>
      <w:r w:rsidR="00264375">
        <w:rPr>
          <w:rFonts w:hint="cs"/>
          <w:rtl/>
        </w:rPr>
        <w:t xml:space="preserve">שואלים: הרי ישנה דרשה לגבי היום הראשון, "ולקחתם לכם </w:t>
      </w:r>
      <w:r w:rsidR="00264375">
        <w:rPr>
          <w:rtl/>
        </w:rPr>
        <w:t>–</w:t>
      </w:r>
      <w:r w:rsidR="00264375">
        <w:rPr>
          <w:rFonts w:hint="cs"/>
          <w:rtl/>
        </w:rPr>
        <w:t xml:space="preserve"> משלכם", ואם כן, מדוע </w:t>
      </w:r>
      <w:r w:rsidR="005F4734">
        <w:rPr>
          <w:rFonts w:hint="cs"/>
          <w:rtl/>
        </w:rPr>
        <w:t xml:space="preserve">נדרשת </w:t>
      </w:r>
      <w:r w:rsidR="00264375">
        <w:rPr>
          <w:rFonts w:hint="cs"/>
          <w:rtl/>
        </w:rPr>
        <w:t>דרשה זו? הרי זו מצווה הבאה בעבירה. ומתרץ תוס' שהדרשה של 'לכם', בא</w:t>
      </w:r>
      <w:r w:rsidR="0061115E">
        <w:rPr>
          <w:rFonts w:hint="cs"/>
          <w:rtl/>
        </w:rPr>
        <w:t>ה</w:t>
      </w:r>
      <w:r w:rsidR="00264375">
        <w:rPr>
          <w:rFonts w:hint="cs"/>
          <w:rtl/>
        </w:rPr>
        <w:t xml:space="preserve"> למעט גם שאול ולא רק גזול.</w:t>
      </w:r>
      <w:r w:rsidR="00EC5F83">
        <w:rPr>
          <w:rFonts w:hint="cs"/>
          <w:rtl/>
        </w:rPr>
        <w:t xml:space="preserve"> כלומר שגזול ביום הראשון פסול </w:t>
      </w:r>
      <w:proofErr w:type="spellStart"/>
      <w:r w:rsidR="00EC5F83">
        <w:rPr>
          <w:rFonts w:hint="cs"/>
          <w:rtl/>
        </w:rPr>
        <w:t>מתרתי</w:t>
      </w:r>
      <w:proofErr w:type="spellEnd"/>
      <w:r w:rsidR="00EC5F83">
        <w:rPr>
          <w:rFonts w:hint="cs"/>
          <w:rtl/>
        </w:rPr>
        <w:t xml:space="preserve"> טעמי, 'לכם' ו-'מצווה הבאה בעבירה', </w:t>
      </w:r>
      <w:r w:rsidR="00F227D8">
        <w:rPr>
          <w:rFonts w:hint="cs"/>
          <w:rtl/>
        </w:rPr>
        <w:t>אלא שביום הראשון נפסל גם שאול, מה שאין כן בשאר הימים.</w:t>
      </w:r>
    </w:p>
    <w:p w14:paraId="75201FF9" w14:textId="02894485" w:rsidR="004F3F2F" w:rsidRDefault="00230598" w:rsidP="00264375">
      <w:pPr>
        <w:rPr>
          <w:rtl/>
        </w:rPr>
      </w:pPr>
      <w:proofErr w:type="spellStart"/>
      <w:r>
        <w:rPr>
          <w:rFonts w:hint="cs"/>
          <w:rtl/>
        </w:rPr>
        <w:t>המהרש"א</w:t>
      </w:r>
      <w:proofErr w:type="spellEnd"/>
      <w:r>
        <w:rPr>
          <w:rFonts w:hint="cs"/>
          <w:rtl/>
        </w:rPr>
        <w:t xml:space="preserve"> </w:t>
      </w:r>
      <w:r w:rsidRPr="00230598">
        <w:rPr>
          <w:rFonts w:hint="cs"/>
          <w:sz w:val="14"/>
          <w:szCs w:val="14"/>
          <w:rtl/>
        </w:rPr>
        <w:t>(שם)</w:t>
      </w:r>
      <w:r>
        <w:rPr>
          <w:rFonts w:hint="cs"/>
          <w:rtl/>
        </w:rPr>
        <w:t xml:space="preserve"> אומר </w:t>
      </w:r>
      <w:proofErr w:type="spellStart"/>
      <w:r>
        <w:rPr>
          <w:rFonts w:hint="cs"/>
          <w:rtl/>
        </w:rPr>
        <w:t>שהתוס</w:t>
      </w:r>
      <w:proofErr w:type="spellEnd"/>
      <w:r>
        <w:rPr>
          <w:rFonts w:hint="cs"/>
          <w:rtl/>
        </w:rPr>
        <w:t xml:space="preserve">' אצלנו לכאורה סותר תוס' אחר </w:t>
      </w:r>
      <w:r w:rsidRPr="00230598">
        <w:rPr>
          <w:rFonts w:hint="cs"/>
          <w:sz w:val="14"/>
          <w:szCs w:val="14"/>
          <w:rtl/>
        </w:rPr>
        <w:t>(סוכה ט.)</w:t>
      </w:r>
      <w:r>
        <w:rPr>
          <w:rFonts w:hint="cs"/>
          <w:rtl/>
        </w:rPr>
        <w:t xml:space="preserve"> שהגמרא אומרת על סוכה גזולה שהיא פסולה משום שנאמר</w:t>
      </w:r>
      <w:r w:rsidR="005C5AE6">
        <w:rPr>
          <w:rFonts w:hint="cs"/>
          <w:rtl/>
        </w:rPr>
        <w:t xml:space="preserve"> </w:t>
      </w:r>
      <w:r w:rsidR="005C5AE6" w:rsidRPr="005C5AE6">
        <w:rPr>
          <w:rFonts w:hint="cs"/>
          <w:sz w:val="14"/>
          <w:szCs w:val="14"/>
          <w:rtl/>
        </w:rPr>
        <w:t>(דברים ט"ז, י"ג)</w:t>
      </w:r>
      <w:r>
        <w:rPr>
          <w:rFonts w:hint="cs"/>
          <w:rtl/>
        </w:rPr>
        <w:t>: "וחג הסוכות תעשה לך", ודורשת הגמרא: "לך- משלך, למעט את הגזול", ודין זה הוא בכל שבעת הימים, ואת אותה הדרשה דורשת הגמרא על ציצית, "</w:t>
      </w:r>
      <w:r w:rsidR="005C5AE6">
        <w:rPr>
          <w:rFonts w:hint="cs"/>
          <w:rtl/>
        </w:rPr>
        <w:t>ועשו להם</w:t>
      </w:r>
      <w:r>
        <w:rPr>
          <w:rFonts w:hint="cs"/>
          <w:rtl/>
        </w:rPr>
        <w:t>"</w:t>
      </w:r>
      <w:r w:rsidR="005C5AE6">
        <w:rPr>
          <w:rFonts w:hint="cs"/>
          <w:rtl/>
        </w:rPr>
        <w:t xml:space="preserve"> </w:t>
      </w:r>
      <w:r w:rsidR="005C5AE6" w:rsidRPr="005C5AE6">
        <w:rPr>
          <w:rFonts w:hint="cs"/>
          <w:sz w:val="14"/>
          <w:szCs w:val="14"/>
          <w:rtl/>
        </w:rPr>
        <w:t>(במדבר ט"ו, ל"ח)</w:t>
      </w:r>
      <w:r>
        <w:rPr>
          <w:rFonts w:hint="cs"/>
          <w:rtl/>
        </w:rPr>
        <w:t xml:space="preserve">. ושואלים תוס' </w:t>
      </w:r>
      <w:r w:rsidRPr="005C5AE6">
        <w:rPr>
          <w:rFonts w:hint="cs"/>
          <w:sz w:val="14"/>
          <w:szCs w:val="14"/>
          <w:rtl/>
        </w:rPr>
        <w:t>(שם)</w:t>
      </w:r>
      <w:r>
        <w:rPr>
          <w:rFonts w:hint="cs"/>
          <w:rtl/>
        </w:rPr>
        <w:t xml:space="preserve"> מדוע צריך דרשות מיוחדות לסוכה, שהרי </w:t>
      </w:r>
      <w:r w:rsidR="00652B32">
        <w:rPr>
          <w:rFonts w:hint="cs"/>
          <w:rtl/>
        </w:rPr>
        <w:t>א</w:t>
      </w:r>
      <w:r>
        <w:rPr>
          <w:rFonts w:hint="cs"/>
          <w:rtl/>
        </w:rPr>
        <w:t>פשר לומר שזוהי מצווה הבאה בעבירה?</w:t>
      </w:r>
      <w:r w:rsidR="005C5AE6">
        <w:rPr>
          <w:rFonts w:hint="cs"/>
          <w:rtl/>
        </w:rPr>
        <w:t xml:space="preserve"> ועונים שפסול של 'מצווה הבאה בעבירה' הוא מדרבנן.</w:t>
      </w:r>
      <w:r w:rsidR="000169CF">
        <w:rPr>
          <w:rFonts w:hint="cs"/>
          <w:rtl/>
        </w:rPr>
        <w:t xml:space="preserve"> </w:t>
      </w:r>
    </w:p>
    <w:p w14:paraId="67165EEE" w14:textId="78B84951" w:rsidR="000169CF" w:rsidRDefault="008A0BCA" w:rsidP="00264375">
      <w:pPr>
        <w:rPr>
          <w:rtl/>
        </w:rPr>
      </w:pPr>
      <w:r>
        <w:rPr>
          <w:rFonts w:hint="cs"/>
          <w:rtl/>
        </w:rPr>
        <w:t>אם כן ישנה סתירה בין התוס' האם דין 'מצווה הבאה בעבירה' הוא מדאורייתא או מדרבנן</w:t>
      </w:r>
      <w:r w:rsidR="004C237F">
        <w:rPr>
          <w:rStyle w:val="ab"/>
          <w:rtl/>
        </w:rPr>
        <w:footnoteReference w:id="1"/>
      </w:r>
      <w:r>
        <w:rPr>
          <w:rFonts w:hint="cs"/>
          <w:rtl/>
        </w:rPr>
        <w:t>.</w:t>
      </w:r>
    </w:p>
    <w:p w14:paraId="401FCACD" w14:textId="5A44FD69" w:rsidR="008A0BCA" w:rsidRDefault="004C237F" w:rsidP="00264375">
      <w:pPr>
        <w:rPr>
          <w:rtl/>
        </w:rPr>
      </w:pPr>
      <w:r>
        <w:rPr>
          <w:rFonts w:hint="cs"/>
          <w:rtl/>
        </w:rPr>
        <w:t xml:space="preserve">אלא שהשאלה היא: לפי התוס' בפרק  שלישי, שפסול זה הוא מדאורייתא, מדוע צריך פסוק לפסול סוכה גזולה וציצית גזולה? </w:t>
      </w:r>
      <w:proofErr w:type="spellStart"/>
      <w:r w:rsidR="007A2B27">
        <w:rPr>
          <w:rFonts w:hint="cs"/>
          <w:rtl/>
        </w:rPr>
        <w:t>תיפוק</w:t>
      </w:r>
      <w:proofErr w:type="spellEnd"/>
      <w:r w:rsidR="007A2B27">
        <w:rPr>
          <w:rFonts w:hint="cs"/>
          <w:rtl/>
        </w:rPr>
        <w:t xml:space="preserve"> ליה שזו מצווה הבאה בעבירה.</w:t>
      </w:r>
    </w:p>
    <w:p w14:paraId="23BA8B6C" w14:textId="69FD93D8" w:rsidR="007A2B27" w:rsidRDefault="00503CF1" w:rsidP="00264375">
      <w:pPr>
        <w:rPr>
          <w:rtl/>
        </w:rPr>
      </w:pPr>
      <w:r>
        <w:rPr>
          <w:rFonts w:hint="cs"/>
          <w:rtl/>
        </w:rPr>
        <w:t>ובסוכה לא ניתן לומר שזה בא למעט 'שאולה', שהרי סוכה שאולה כשרה</w:t>
      </w:r>
      <w:r w:rsidR="001A3DA8">
        <w:rPr>
          <w:rFonts w:hint="cs"/>
          <w:rtl/>
        </w:rPr>
        <w:t xml:space="preserve"> </w:t>
      </w:r>
      <w:r w:rsidR="001A3DA8" w:rsidRPr="001A3DA8">
        <w:rPr>
          <w:rFonts w:hint="cs"/>
          <w:sz w:val="14"/>
          <w:szCs w:val="14"/>
          <w:rtl/>
        </w:rPr>
        <w:t xml:space="preserve">(סוכה </w:t>
      </w:r>
      <w:proofErr w:type="spellStart"/>
      <w:r w:rsidR="001A3DA8" w:rsidRPr="001A3DA8">
        <w:rPr>
          <w:rFonts w:hint="cs"/>
          <w:sz w:val="14"/>
          <w:szCs w:val="14"/>
          <w:rtl/>
        </w:rPr>
        <w:t>כז</w:t>
      </w:r>
      <w:proofErr w:type="spellEnd"/>
      <w:r w:rsidR="001A3DA8" w:rsidRPr="001A3DA8">
        <w:rPr>
          <w:rFonts w:hint="cs"/>
          <w:sz w:val="14"/>
          <w:szCs w:val="14"/>
          <w:rtl/>
        </w:rPr>
        <w:t>:)</w:t>
      </w:r>
      <w:r>
        <w:rPr>
          <w:rFonts w:hint="cs"/>
          <w:rtl/>
        </w:rPr>
        <w:t>:</w:t>
      </w:r>
    </w:p>
    <w:p w14:paraId="24B030D4" w14:textId="7C3AC495" w:rsidR="00503CF1" w:rsidRDefault="001A3DA8" w:rsidP="001A3DA8">
      <w:pPr>
        <w:pStyle w:val="a3"/>
        <w:rPr>
          <w:rtl/>
        </w:rPr>
      </w:pPr>
      <w:r>
        <w:rPr>
          <w:rtl/>
        </w:rPr>
        <w:t xml:space="preserve">וחכמים אומרים: אף על פי שאמרו אין אדם יוצא ידי חובתו ביום טוב הראשון בלולבו של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, אבל יוצא ידי חובתו בסוכתו של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כל האזרח בישראל ישבו </w:t>
      </w:r>
      <w:proofErr w:type="spellStart"/>
      <w:r>
        <w:rPr>
          <w:rtl/>
        </w:rPr>
        <w:t>בסכת</w:t>
      </w:r>
      <w:proofErr w:type="spellEnd"/>
      <w:r>
        <w:rPr>
          <w:rtl/>
        </w:rPr>
        <w:t xml:space="preserve"> - מלמד שכל ישראל </w:t>
      </w:r>
      <w:proofErr w:type="spellStart"/>
      <w:r>
        <w:rPr>
          <w:rtl/>
        </w:rPr>
        <w:t>ראוים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לישב</w:t>
      </w:r>
      <w:proofErr w:type="spellEnd"/>
      <w:r>
        <w:rPr>
          <w:rtl/>
        </w:rPr>
        <w:t xml:space="preserve"> בסוכה אחת.</w:t>
      </w:r>
    </w:p>
    <w:p w14:paraId="4D4A8FCD" w14:textId="25898755" w:rsidR="0046137E" w:rsidRDefault="0046137E" w:rsidP="001A3DA8">
      <w:pPr>
        <w:rPr>
          <w:rtl/>
        </w:rPr>
      </w:pP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ישנו חידוש נפלא של </w:t>
      </w:r>
      <w:proofErr w:type="spellStart"/>
      <w:r>
        <w:rPr>
          <w:rFonts w:hint="cs"/>
          <w:rtl/>
        </w:rPr>
        <w:t>הריטב"א</w:t>
      </w:r>
      <w:proofErr w:type="spellEnd"/>
      <w:r>
        <w:rPr>
          <w:rStyle w:val="ab"/>
          <w:rtl/>
        </w:rPr>
        <w:footnoteReference w:id="2"/>
      </w:r>
      <w:r>
        <w:rPr>
          <w:rFonts w:hint="cs"/>
          <w:rtl/>
        </w:rPr>
        <w:t xml:space="preserve"> שמביא בשם התוס' שיש לחלק בין שני סוגי מצוות: רגילות </w:t>
      </w:r>
      <w:r>
        <w:rPr>
          <w:rtl/>
        </w:rPr>
        <w:t>–</w:t>
      </w:r>
      <w:r>
        <w:rPr>
          <w:rFonts w:hint="cs"/>
          <w:rtl/>
        </w:rPr>
        <w:t xml:space="preserve"> כעבד המקיים מצוות קונו, ומצוות ריצוי, "ונרצה לו לכפר עליו", כמו קורבן. ואומר </w:t>
      </w:r>
      <w:proofErr w:type="spellStart"/>
      <w:r>
        <w:rPr>
          <w:rFonts w:hint="cs"/>
          <w:rtl/>
        </w:rPr>
        <w:t>הריטב"א</w:t>
      </w:r>
      <w:proofErr w:type="spellEnd"/>
      <w:r>
        <w:rPr>
          <w:rFonts w:hint="cs"/>
          <w:rtl/>
        </w:rPr>
        <w:t xml:space="preserve"> </w:t>
      </w:r>
      <w:r w:rsidR="007174D2">
        <w:rPr>
          <w:rFonts w:hint="cs"/>
          <w:rtl/>
        </w:rPr>
        <w:t>שהמקור של מצוות ריצוי</w:t>
      </w:r>
      <w:r w:rsidR="00DA12C7">
        <w:rPr>
          <w:rFonts w:hint="cs"/>
          <w:rtl/>
        </w:rPr>
        <w:t xml:space="preserve"> </w:t>
      </w:r>
      <w:r w:rsidR="007174D2">
        <w:rPr>
          <w:rFonts w:hint="cs"/>
          <w:rtl/>
        </w:rPr>
        <w:t>הוא מקורבנות, שרק שם מדאורייתא יש את הדין של 'מצווה הבאה בעבירה', לעומת מצוות רגילות, שם דין זה הוא מדרבנן.</w:t>
      </w:r>
      <w:r w:rsidR="00FD512C">
        <w:rPr>
          <w:rFonts w:hint="cs"/>
          <w:rtl/>
        </w:rPr>
        <w:t xml:space="preserve"> </w:t>
      </w:r>
    </w:p>
    <w:p w14:paraId="7594766C" w14:textId="1C8910B6" w:rsidR="001A3DA8" w:rsidRDefault="0046137E" w:rsidP="001A3DA8">
      <w:pPr>
        <w:rPr>
          <w:rtl/>
        </w:rPr>
      </w:pPr>
      <w:r>
        <w:rPr>
          <w:rFonts w:hint="cs"/>
          <w:rtl/>
        </w:rPr>
        <w:lastRenderedPageBreak/>
        <w:t xml:space="preserve">וכך הוא כותב </w:t>
      </w:r>
      <w:r w:rsidRPr="0046137E">
        <w:rPr>
          <w:rFonts w:hint="cs"/>
          <w:sz w:val="14"/>
          <w:szCs w:val="14"/>
          <w:rtl/>
        </w:rPr>
        <w:t>(ט.)</w:t>
      </w:r>
      <w:r>
        <w:rPr>
          <w:rFonts w:hint="cs"/>
          <w:rtl/>
        </w:rPr>
        <w:t>:</w:t>
      </w:r>
    </w:p>
    <w:p w14:paraId="5152CF83" w14:textId="3813844B" w:rsidR="007B2D28" w:rsidRDefault="007B2D28" w:rsidP="007B2D28">
      <w:pPr>
        <w:pStyle w:val="a3"/>
        <w:rPr>
          <w:rtl/>
        </w:rPr>
      </w:pPr>
      <w:r>
        <w:rPr>
          <w:rtl/>
        </w:rPr>
        <w:t xml:space="preserve">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ההוא </w:t>
      </w:r>
      <w:proofErr w:type="spellStart"/>
      <w:r>
        <w:rPr>
          <w:rtl/>
        </w:rPr>
        <w:t>מיבעי</w:t>
      </w:r>
      <w:proofErr w:type="spellEnd"/>
      <w:r>
        <w:rPr>
          <w:rtl/>
        </w:rPr>
        <w:t xml:space="preserve"> ליה למעוטי סוכה גזולה. </w:t>
      </w:r>
      <w:proofErr w:type="spellStart"/>
      <w:r>
        <w:rPr>
          <w:rtl/>
        </w:rPr>
        <w:t>תמיהא</w:t>
      </w:r>
      <w:proofErr w:type="spellEnd"/>
      <w:r>
        <w:rPr>
          <w:rtl/>
        </w:rPr>
        <w:t xml:space="preserve"> מילתא הא למה לי קרא </w:t>
      </w:r>
      <w:proofErr w:type="spellStart"/>
      <w:r>
        <w:rPr>
          <w:rtl/>
        </w:rPr>
        <w:t>תיפוק</w:t>
      </w:r>
      <w:proofErr w:type="spellEnd"/>
      <w:r>
        <w:rPr>
          <w:rtl/>
        </w:rPr>
        <w:t xml:space="preserve"> ליה דהוה ליה מצוה הבאה בעבירה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בקרבן ובלולב, תירצו בתוספות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מצוה הבאה בעבירה </w:t>
      </w:r>
      <w:r w:rsidRPr="007C0EB2">
        <w:rPr>
          <w:b/>
          <w:bCs/>
          <w:rtl/>
        </w:rPr>
        <w:t>אלא בדבר הבא לרצות כקרבן ולולב</w:t>
      </w:r>
      <w:r>
        <w:rPr>
          <w:rtl/>
        </w:rPr>
        <w:t xml:space="preserve"> אבל לא בשאר מצות</w:t>
      </w:r>
      <w:r>
        <w:rPr>
          <w:rFonts w:hint="cs"/>
          <w:rtl/>
        </w:rPr>
        <w:t>.</w:t>
      </w:r>
    </w:p>
    <w:p w14:paraId="754A5F97" w14:textId="5A7447D3" w:rsidR="0046137E" w:rsidRDefault="007C0EB2" w:rsidP="001A3DA8">
      <w:pPr>
        <w:rPr>
          <w:rtl/>
        </w:rPr>
      </w:pPr>
      <w:r>
        <w:rPr>
          <w:rFonts w:hint="cs"/>
          <w:rtl/>
        </w:rPr>
        <w:t xml:space="preserve">כלומר שכותב </w:t>
      </w:r>
      <w:proofErr w:type="spellStart"/>
      <w:r w:rsidR="00DA12C7">
        <w:rPr>
          <w:rFonts w:hint="cs"/>
          <w:rtl/>
        </w:rPr>
        <w:t>הריטב"א</w:t>
      </w:r>
      <w:proofErr w:type="spellEnd"/>
      <w:r w:rsidR="00DA12C7">
        <w:rPr>
          <w:rFonts w:hint="cs"/>
          <w:rtl/>
        </w:rPr>
        <w:t xml:space="preserve"> </w:t>
      </w:r>
      <w:r w:rsidR="00806331">
        <w:rPr>
          <w:rFonts w:hint="cs"/>
          <w:rtl/>
        </w:rPr>
        <w:t>חידוש</w:t>
      </w:r>
      <w:r>
        <w:rPr>
          <w:rFonts w:hint="cs"/>
          <w:rtl/>
        </w:rPr>
        <w:t>,</w:t>
      </w:r>
      <w:r w:rsidR="00806331">
        <w:rPr>
          <w:rFonts w:hint="cs"/>
          <w:rtl/>
        </w:rPr>
        <w:t xml:space="preserve"> </w:t>
      </w:r>
      <w:r w:rsidR="00DA12C7">
        <w:rPr>
          <w:rFonts w:hint="cs"/>
          <w:rtl/>
        </w:rPr>
        <w:t>שלולב בא לריצוי</w:t>
      </w:r>
      <w:r w:rsidR="00D72C02">
        <w:rPr>
          <w:rStyle w:val="ab"/>
          <w:rtl/>
        </w:rPr>
        <w:footnoteReference w:id="3"/>
      </w:r>
      <w:r w:rsidR="00806331">
        <w:rPr>
          <w:rFonts w:hint="cs"/>
          <w:rtl/>
        </w:rPr>
        <w:t>.</w:t>
      </w:r>
    </w:p>
    <w:p w14:paraId="39F44511" w14:textId="113A589D" w:rsidR="00D72C02" w:rsidRDefault="000528A2" w:rsidP="001A3DA8">
      <w:pPr>
        <w:rPr>
          <w:rtl/>
        </w:rPr>
      </w:pPr>
      <w:r>
        <w:rPr>
          <w:rFonts w:hint="cs"/>
          <w:rtl/>
        </w:rPr>
        <w:t>ו</w:t>
      </w:r>
      <w:r w:rsidR="00D72C02">
        <w:rPr>
          <w:rFonts w:hint="cs"/>
          <w:rtl/>
        </w:rPr>
        <w:t xml:space="preserve">יש לשים לב, </w:t>
      </w:r>
      <w:proofErr w:type="spellStart"/>
      <w:r w:rsidR="00D72C02">
        <w:rPr>
          <w:rFonts w:hint="cs"/>
          <w:rtl/>
        </w:rPr>
        <w:t>שבתוס</w:t>
      </w:r>
      <w:proofErr w:type="spellEnd"/>
      <w:r w:rsidR="00D72C02">
        <w:rPr>
          <w:rFonts w:hint="cs"/>
          <w:rtl/>
        </w:rPr>
        <w:t xml:space="preserve">' בדף ל' כתוב: "הוא הדין בכל המצוות", בשונה מגי' </w:t>
      </w:r>
      <w:proofErr w:type="spellStart"/>
      <w:r w:rsidR="00D72C02">
        <w:rPr>
          <w:rFonts w:hint="cs"/>
          <w:rtl/>
        </w:rPr>
        <w:t>הריטב"א</w:t>
      </w:r>
      <w:proofErr w:type="spellEnd"/>
      <w:r w:rsidR="00D72C02">
        <w:rPr>
          <w:rFonts w:hint="cs"/>
          <w:rtl/>
        </w:rPr>
        <w:t xml:space="preserve"> שכותב: "הוא הדין בכל המצוות </w:t>
      </w:r>
      <w:proofErr w:type="spellStart"/>
      <w:r w:rsidR="00D72C02">
        <w:rPr>
          <w:rFonts w:hint="cs"/>
          <w:rtl/>
        </w:rPr>
        <w:t>דומיא</w:t>
      </w:r>
      <w:proofErr w:type="spellEnd"/>
      <w:r w:rsidR="00D72C02">
        <w:rPr>
          <w:rFonts w:hint="cs"/>
          <w:rtl/>
        </w:rPr>
        <w:t xml:space="preserve"> </w:t>
      </w:r>
      <w:proofErr w:type="spellStart"/>
      <w:r w:rsidR="00D72C02">
        <w:rPr>
          <w:rFonts w:hint="cs"/>
          <w:rtl/>
        </w:rPr>
        <w:t>דריצוי</w:t>
      </w:r>
      <w:proofErr w:type="spellEnd"/>
      <w:r w:rsidR="00D72C02">
        <w:rPr>
          <w:rFonts w:hint="cs"/>
          <w:rtl/>
        </w:rPr>
        <w:t>".</w:t>
      </w:r>
    </w:p>
    <w:p w14:paraId="4351EA49" w14:textId="15CD0E5B" w:rsidR="008456A3" w:rsidRDefault="006A3D5F" w:rsidP="001A3DA8">
      <w:pPr>
        <w:rPr>
          <w:rtl/>
        </w:rPr>
      </w:pPr>
      <w:r>
        <w:rPr>
          <w:rFonts w:hint="cs"/>
          <w:rtl/>
        </w:rPr>
        <w:t>והשאלה היא מדוע לולב הוא ריצוי?</w:t>
      </w:r>
    </w:p>
    <w:p w14:paraId="76AC6E54" w14:textId="32AEFD4B" w:rsidR="006A3D5F" w:rsidRDefault="006A3D5F" w:rsidP="001A3DA8">
      <w:pPr>
        <w:rPr>
          <w:rtl/>
        </w:rPr>
      </w:pPr>
      <w:r>
        <w:rPr>
          <w:rFonts w:hint="cs"/>
          <w:rtl/>
        </w:rPr>
        <w:t xml:space="preserve">בשיעורי הרב </w:t>
      </w:r>
      <w:proofErr w:type="spellStart"/>
      <w:r>
        <w:rPr>
          <w:rFonts w:hint="cs"/>
          <w:rtl/>
        </w:rPr>
        <w:t>סולובייצ'יק</w:t>
      </w:r>
      <w:proofErr w:type="spellEnd"/>
      <w:r>
        <w:rPr>
          <w:rFonts w:hint="cs"/>
          <w:rtl/>
        </w:rPr>
        <w:t xml:space="preserve"> על מסכת סוכה </w:t>
      </w:r>
      <w:r w:rsidR="00226479">
        <w:rPr>
          <w:rFonts w:hint="cs"/>
          <w:rtl/>
        </w:rPr>
        <w:t xml:space="preserve">מסביר שמצוות לולב היא מצוות הלל, </w:t>
      </w:r>
      <w:r w:rsidR="00B721B0">
        <w:rPr>
          <w:rFonts w:hint="cs"/>
          <w:rtl/>
        </w:rPr>
        <w:t>הודיה לקב"ה, שהרי את ההלל אומרים עם לולב</w:t>
      </w:r>
      <w:r w:rsidR="003D5B4C">
        <w:rPr>
          <w:rFonts w:hint="cs"/>
          <w:rtl/>
        </w:rPr>
        <w:t xml:space="preserve">. ומביא ראיה מהרמב"ם </w:t>
      </w:r>
      <w:r w:rsidR="003D5B4C" w:rsidRPr="003D5B4C">
        <w:rPr>
          <w:rFonts w:hint="cs"/>
          <w:sz w:val="14"/>
          <w:szCs w:val="14"/>
          <w:rtl/>
        </w:rPr>
        <w:t>(הלכות לולב, ז'</w:t>
      </w:r>
      <w:r w:rsidR="003D5B4C">
        <w:rPr>
          <w:rFonts w:hint="cs"/>
          <w:sz w:val="14"/>
          <w:szCs w:val="14"/>
          <w:rtl/>
        </w:rPr>
        <w:t xml:space="preserve">, </w:t>
      </w:r>
      <w:r w:rsidR="00226268">
        <w:rPr>
          <w:rFonts w:hint="cs"/>
          <w:sz w:val="14"/>
          <w:szCs w:val="14"/>
          <w:rtl/>
        </w:rPr>
        <w:t>ט'-</w:t>
      </w:r>
      <w:r w:rsidR="00540EE7">
        <w:rPr>
          <w:rFonts w:hint="cs"/>
          <w:sz w:val="14"/>
          <w:szCs w:val="14"/>
          <w:rtl/>
        </w:rPr>
        <w:t>י'</w:t>
      </w:r>
      <w:r w:rsidR="003D5B4C" w:rsidRPr="003D5B4C">
        <w:rPr>
          <w:rFonts w:hint="cs"/>
          <w:sz w:val="14"/>
          <w:szCs w:val="14"/>
          <w:rtl/>
        </w:rPr>
        <w:t>)</w:t>
      </w:r>
      <w:r w:rsidR="003D5B4C">
        <w:rPr>
          <w:rFonts w:hint="cs"/>
          <w:rtl/>
        </w:rPr>
        <w:t>:</w:t>
      </w:r>
    </w:p>
    <w:p w14:paraId="4C2C44D0" w14:textId="2C645346" w:rsidR="003D5B4C" w:rsidRDefault="00226268" w:rsidP="00226268">
      <w:pPr>
        <w:pStyle w:val="a3"/>
        <w:rPr>
          <w:rtl/>
        </w:rPr>
      </w:pPr>
      <w:r>
        <w:rPr>
          <w:rtl/>
        </w:rPr>
        <w:t xml:space="preserve">ומצוה כהלכתה שיגביה אגודה של שלשה </w:t>
      </w:r>
      <w:proofErr w:type="spellStart"/>
      <w:r>
        <w:rPr>
          <w:rtl/>
        </w:rPr>
        <w:t>מינין</w:t>
      </w:r>
      <w:proofErr w:type="spellEnd"/>
      <w:r>
        <w:rPr>
          <w:rtl/>
        </w:rPr>
        <w:t xml:space="preserve"> בימין ואתרוג בשמאל ויוליך ויביא ויעלה ויוריד וינענע הלולב שלשה פעמים בכל רוח ורוח.</w:t>
      </w:r>
      <w:r>
        <w:rPr>
          <w:rFonts w:hint="cs"/>
          <w:rtl/>
        </w:rPr>
        <w:t>..</w:t>
      </w:r>
      <w:r>
        <w:rPr>
          <w:rtl/>
        </w:rPr>
        <w:t xml:space="preserve"> </w:t>
      </w:r>
      <w:r w:rsidR="00153DCB" w:rsidRPr="00226268">
        <w:rPr>
          <w:b/>
          <w:bCs/>
          <w:rtl/>
        </w:rPr>
        <w:t>והיכן מוליך ומביא בשעת קריאת ההלל</w:t>
      </w:r>
      <w:r w:rsidR="00153DCB">
        <w:rPr>
          <w:rtl/>
        </w:rPr>
        <w:t xml:space="preserve"> בהודו לה' כי טוב תחלה וסוף </w:t>
      </w:r>
      <w:proofErr w:type="spellStart"/>
      <w:r w:rsidR="00153DCB">
        <w:rPr>
          <w:rtl/>
        </w:rPr>
        <w:t>ובאנא</w:t>
      </w:r>
      <w:proofErr w:type="spellEnd"/>
      <w:r w:rsidR="00153DCB">
        <w:rPr>
          <w:rtl/>
        </w:rPr>
        <w:t xml:space="preserve"> ה' הושיעה נא</w:t>
      </w:r>
      <w:r w:rsidR="00153DCB">
        <w:rPr>
          <w:rFonts w:hint="cs"/>
          <w:rtl/>
        </w:rPr>
        <w:t>.</w:t>
      </w:r>
    </w:p>
    <w:p w14:paraId="6551C2F2" w14:textId="45A82327" w:rsidR="00540EE7" w:rsidRDefault="00540EE7" w:rsidP="001A3DA8">
      <w:pPr>
        <w:rPr>
          <w:rtl/>
        </w:rPr>
      </w:pPr>
      <w:r>
        <w:rPr>
          <w:rFonts w:hint="cs"/>
          <w:rtl/>
        </w:rPr>
        <w:t>כלומר שמי שסתם לוקח לולב ונטלו, לא בהלל, יצא ידי חובה, אלא שעיקר המצווה היא בהלל.</w:t>
      </w:r>
    </w:p>
    <w:p w14:paraId="5E5974C5" w14:textId="4F46EA48" w:rsidR="00153DCB" w:rsidRDefault="00153DCB" w:rsidP="001A3DA8">
      <w:pPr>
        <w:rPr>
          <w:rtl/>
        </w:rPr>
      </w:pPr>
      <w:r>
        <w:rPr>
          <w:rFonts w:hint="cs"/>
          <w:rtl/>
        </w:rPr>
        <w:t xml:space="preserve">ומביא הרב </w:t>
      </w:r>
      <w:proofErr w:type="spellStart"/>
      <w:r>
        <w:rPr>
          <w:rFonts w:hint="cs"/>
          <w:rtl/>
        </w:rPr>
        <w:t>סולובייצ'יק</w:t>
      </w:r>
      <w:proofErr w:type="spellEnd"/>
      <w:r>
        <w:rPr>
          <w:rFonts w:hint="cs"/>
          <w:rtl/>
        </w:rPr>
        <w:t xml:space="preserve"> נ"מ גדולה בהלכה למעשה, ביו"ט של סוכות יש הנוהגים שמברכים ונוטלים את הלולב בסוכה לפני התפילה ואז הולכים </w:t>
      </w:r>
      <w:proofErr w:type="spellStart"/>
      <w:r>
        <w:rPr>
          <w:rFonts w:hint="cs"/>
          <w:rtl/>
        </w:rPr>
        <w:t>לביה"כ</w:t>
      </w:r>
      <w:proofErr w:type="spellEnd"/>
      <w:r>
        <w:rPr>
          <w:rFonts w:hint="cs"/>
          <w:rtl/>
        </w:rPr>
        <w:t xml:space="preserve"> ושוב נוטלים את הלולב ללא ברכה, ויש שרק בזמן ההלל.</w:t>
      </w:r>
    </w:p>
    <w:p w14:paraId="6E96B14F" w14:textId="1C3ED872" w:rsidR="00B868AC" w:rsidRDefault="00B6044B" w:rsidP="001A3DA8">
      <w:pPr>
        <w:rPr>
          <w:rtl/>
        </w:rPr>
      </w:pPr>
      <w:proofErr w:type="spellStart"/>
      <w:r>
        <w:rPr>
          <w:rFonts w:hint="cs"/>
          <w:rtl/>
        </w:rPr>
        <w:t>הריטב"א</w:t>
      </w:r>
      <w:proofErr w:type="spellEnd"/>
      <w:r>
        <w:rPr>
          <w:rFonts w:hint="cs"/>
          <w:rtl/>
        </w:rPr>
        <w:t xml:space="preserve"> אומר שישנה בעיה, כיוון שהגמרא בירושלמי </w:t>
      </w:r>
      <w:r w:rsidR="00F13F8E">
        <w:rPr>
          <w:rFonts w:hint="cs"/>
          <w:rtl/>
        </w:rPr>
        <w:t>בפסחים</w:t>
      </w:r>
      <w:r w:rsidR="00F13F8E">
        <w:rPr>
          <w:rStyle w:val="ab"/>
          <w:rtl/>
        </w:rPr>
        <w:footnoteReference w:id="4"/>
      </w:r>
      <w:r>
        <w:rPr>
          <w:rFonts w:hint="cs"/>
          <w:rtl/>
        </w:rPr>
        <w:t xml:space="preserve"> בה כתוב שמצה גזולה פסולה משום מצווה הבאה בעבירה</w:t>
      </w:r>
      <w:r>
        <w:rPr>
          <w:rStyle w:val="ab"/>
          <w:rtl/>
        </w:rPr>
        <w:footnoteReference w:id="5"/>
      </w:r>
      <w:r w:rsidR="00F13F8E">
        <w:rPr>
          <w:rFonts w:hint="cs"/>
          <w:rtl/>
        </w:rPr>
        <w:t>, ולא עונה על שאלה זו.</w:t>
      </w:r>
    </w:p>
    <w:p w14:paraId="211D6E22" w14:textId="605848AF" w:rsidR="00F13F8E" w:rsidRDefault="00F13F8E" w:rsidP="001A3DA8">
      <w:pPr>
        <w:rPr>
          <w:rtl/>
        </w:rPr>
      </w:pPr>
      <w:r>
        <w:rPr>
          <w:rFonts w:hint="cs"/>
          <w:rtl/>
        </w:rPr>
        <w:t>אלא שדווקא מסיפור המצה ישנה ראיה הפוכה.</w:t>
      </w:r>
    </w:p>
    <w:p w14:paraId="35A498DD" w14:textId="6EB6C071" w:rsidR="00BE776B" w:rsidRDefault="00F13F8E" w:rsidP="00664389">
      <w:pPr>
        <w:rPr>
          <w:rtl/>
        </w:rPr>
      </w:pPr>
      <w:r>
        <w:rPr>
          <w:rFonts w:hint="cs"/>
          <w:rtl/>
        </w:rPr>
        <w:t xml:space="preserve">הגמרא בפסחים </w:t>
      </w:r>
      <w:r w:rsidRPr="00F13F8E">
        <w:rPr>
          <w:rFonts w:hint="cs"/>
          <w:sz w:val="14"/>
          <w:szCs w:val="14"/>
          <w:rtl/>
        </w:rPr>
        <w:t>(לה.)</w:t>
      </w:r>
      <w:r>
        <w:rPr>
          <w:rFonts w:hint="cs"/>
          <w:rtl/>
        </w:rPr>
        <w:t xml:space="preserve"> מביאה שמצת טבל פסולה</w:t>
      </w:r>
      <w:r w:rsidR="00F5319A">
        <w:rPr>
          <w:rFonts w:hint="cs"/>
          <w:rtl/>
        </w:rPr>
        <w:t xml:space="preserve">, </w:t>
      </w:r>
      <w:r w:rsidR="00D825C8">
        <w:rPr>
          <w:rFonts w:hint="cs"/>
          <w:rtl/>
        </w:rPr>
        <w:t xml:space="preserve">ומסבירה </w:t>
      </w:r>
      <w:r w:rsidR="00F5319A">
        <w:rPr>
          <w:rFonts w:hint="cs"/>
          <w:rtl/>
        </w:rPr>
        <w:t xml:space="preserve">שהסיבה היא שמצה כשרה היא מצה שאם העיסה היתה מחמיצה </w:t>
      </w:r>
      <w:r w:rsidR="00F5319A">
        <w:rPr>
          <w:rtl/>
        </w:rPr>
        <w:t>–</w:t>
      </w:r>
      <w:r w:rsidR="00F5319A">
        <w:rPr>
          <w:rFonts w:hint="cs"/>
          <w:rtl/>
        </w:rPr>
        <w:t xml:space="preserve"> היה איסור חמץ, אלא שטבל גם אם היה מחמיץ לא היה איסור חמץ כי אין איסור חל על איסור.</w:t>
      </w:r>
      <w:r w:rsidR="00E723F1">
        <w:rPr>
          <w:rFonts w:hint="cs"/>
          <w:rtl/>
        </w:rPr>
        <w:t xml:space="preserve"> ושם כל הראשונים</w:t>
      </w:r>
      <w:r w:rsidR="00E723F1">
        <w:rPr>
          <w:rStyle w:val="ab"/>
          <w:rtl/>
        </w:rPr>
        <w:footnoteReference w:id="6"/>
      </w:r>
      <w:r w:rsidR="00E723F1">
        <w:rPr>
          <w:rFonts w:hint="cs"/>
          <w:rtl/>
        </w:rPr>
        <w:t xml:space="preserve"> שואלים למה הגמרא לא אמרה 'מצווה הבאה בעבירה'? ועונים שהסיבה היא משום שמצה היא אינה </w:t>
      </w:r>
      <w:r w:rsidR="004C005C">
        <w:rPr>
          <w:rFonts w:hint="cs"/>
          <w:rtl/>
        </w:rPr>
        <w:t xml:space="preserve">מצוות </w:t>
      </w:r>
      <w:r w:rsidR="00E723F1">
        <w:rPr>
          <w:rFonts w:hint="cs"/>
          <w:rtl/>
        </w:rPr>
        <w:t>ריצוי אלא מצווה רגילה</w:t>
      </w:r>
      <w:r w:rsidR="00E4001A">
        <w:rPr>
          <w:rFonts w:hint="cs"/>
          <w:rtl/>
        </w:rPr>
        <w:t>.</w:t>
      </w:r>
      <w:r w:rsidR="00ED7EBC">
        <w:rPr>
          <w:rFonts w:hint="cs"/>
          <w:rtl/>
        </w:rPr>
        <w:t xml:space="preserve"> ומסביר ר' דוד שלולב הוא כעין קורבן, שבא לריצוי.</w:t>
      </w:r>
    </w:p>
    <w:p w14:paraId="7401A1C3" w14:textId="1D607FC8" w:rsidR="008F6C45" w:rsidRDefault="008F6C45" w:rsidP="008F6C45">
      <w:pPr>
        <w:rPr>
          <w:rFonts w:hint="cs"/>
          <w:rtl/>
        </w:rPr>
      </w:pPr>
      <w:r>
        <w:rPr>
          <w:rFonts w:hint="cs"/>
          <w:rtl/>
        </w:rPr>
        <w:t xml:space="preserve">והמחלוקת בין הבבלי לירושלמי יכולה להיות מכך שהירושלמי למד מפסוק אחר </w:t>
      </w:r>
      <w:r w:rsidRPr="008F6C45">
        <w:rPr>
          <w:rFonts w:hint="cs"/>
          <w:sz w:val="14"/>
          <w:szCs w:val="14"/>
          <w:rtl/>
        </w:rPr>
        <w:t>(ויקרא כ"ז, ל"ד)</w:t>
      </w:r>
      <w:r>
        <w:rPr>
          <w:rFonts w:hint="cs"/>
          <w:rtl/>
        </w:rPr>
        <w:t xml:space="preserve"> בתורה: "'</w:t>
      </w:r>
      <w:r>
        <w:rPr>
          <w:rtl/>
        </w:rPr>
        <w:t>אלה המצות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 xml:space="preserve">אם עשיתן </w:t>
      </w:r>
      <w:proofErr w:type="spellStart"/>
      <w:r>
        <w:rPr>
          <w:rtl/>
        </w:rPr>
        <w:t>כמצותן</w:t>
      </w:r>
      <w:proofErr w:type="spellEnd"/>
      <w:r>
        <w:rPr>
          <w:rtl/>
        </w:rPr>
        <w:t xml:space="preserve"> הן מצות ואם לאו אינן מצות</w:t>
      </w:r>
      <w:r>
        <w:rPr>
          <w:rFonts w:hint="cs"/>
          <w:rtl/>
        </w:rPr>
        <w:t>", ולא מהפסוקים בנביא המדברים על קורבן.</w:t>
      </w:r>
    </w:p>
    <w:sectPr w:rsidR="008F6C45" w:rsidSect="00C6719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2410" w14:textId="77777777" w:rsidR="006E5376" w:rsidRDefault="006E5376" w:rsidP="00264375">
      <w:pPr>
        <w:spacing w:after="0" w:line="240" w:lineRule="auto"/>
      </w:pPr>
      <w:r>
        <w:separator/>
      </w:r>
    </w:p>
  </w:endnote>
  <w:endnote w:type="continuationSeparator" w:id="0">
    <w:p w14:paraId="6CE07DC9" w14:textId="77777777" w:rsidR="006E5376" w:rsidRDefault="006E5376" w:rsidP="002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 SemiBold">
    <w:panose1 w:val="000007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6F99" w14:textId="77777777" w:rsidR="00AD4EA1" w:rsidRDefault="00AD4E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073A" w14:textId="77777777" w:rsidR="006E5376" w:rsidRDefault="006E5376" w:rsidP="00264375">
      <w:pPr>
        <w:spacing w:after="0" w:line="240" w:lineRule="auto"/>
      </w:pPr>
      <w:r>
        <w:separator/>
      </w:r>
    </w:p>
  </w:footnote>
  <w:footnote w:type="continuationSeparator" w:id="0">
    <w:p w14:paraId="18C8E2E5" w14:textId="77777777" w:rsidR="006E5376" w:rsidRDefault="006E5376" w:rsidP="00264375">
      <w:pPr>
        <w:spacing w:after="0" w:line="240" w:lineRule="auto"/>
      </w:pPr>
      <w:r>
        <w:continuationSeparator/>
      </w:r>
    </w:p>
  </w:footnote>
  <w:footnote w:id="1">
    <w:p w14:paraId="50E19140" w14:textId="4DA54A87" w:rsidR="004C237F" w:rsidRDefault="004C237F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ובאופן פשוט התוס' חולקים.</w:t>
      </w:r>
    </w:p>
  </w:footnote>
  <w:footnote w:id="2">
    <w:p w14:paraId="41CBCB3D" w14:textId="3A8A01D7" w:rsidR="0046137E" w:rsidRDefault="0046137E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בשתי המקומות.</w:t>
      </w:r>
    </w:p>
  </w:footnote>
  <w:footnote w:id="3">
    <w:p w14:paraId="47FFB8ED" w14:textId="1C2FB3AA" w:rsidR="00D72C02" w:rsidRDefault="00D72C02" w:rsidP="00D72C02">
      <w:pPr>
        <w:spacing w:after="0"/>
        <w:rPr>
          <w:rFonts w:hint="cs"/>
        </w:rPr>
      </w:pPr>
      <w:r w:rsidRPr="00D72C02">
        <w:rPr>
          <w:rStyle w:val="ab"/>
          <w:sz w:val="20"/>
          <w:szCs w:val="20"/>
        </w:rPr>
        <w:footnoteRef/>
      </w:r>
      <w:r w:rsidRPr="00D72C02">
        <w:rPr>
          <w:sz w:val="20"/>
          <w:szCs w:val="20"/>
          <w:rtl/>
        </w:rPr>
        <w:t xml:space="preserve"> </w:t>
      </w:r>
      <w:r w:rsidRPr="00D72C02">
        <w:rPr>
          <w:rFonts w:hint="cs"/>
          <w:sz w:val="20"/>
          <w:szCs w:val="20"/>
          <w:rtl/>
        </w:rPr>
        <w:t xml:space="preserve">וחוזר על כך </w:t>
      </w:r>
      <w:proofErr w:type="spellStart"/>
      <w:r w:rsidRPr="00D72C02">
        <w:rPr>
          <w:rFonts w:hint="cs"/>
          <w:sz w:val="20"/>
          <w:szCs w:val="20"/>
          <w:rtl/>
        </w:rPr>
        <w:t>הריטב"א</w:t>
      </w:r>
      <w:proofErr w:type="spellEnd"/>
      <w:r w:rsidRPr="00D72C02">
        <w:rPr>
          <w:rFonts w:hint="cs"/>
          <w:sz w:val="20"/>
          <w:szCs w:val="20"/>
          <w:rtl/>
        </w:rPr>
        <w:t xml:space="preserve"> בסוגייה בדף לא </w:t>
      </w:r>
      <w:r w:rsidRPr="00D72C02">
        <w:rPr>
          <w:rFonts w:hint="cs"/>
          <w:sz w:val="14"/>
          <w:szCs w:val="14"/>
          <w:rtl/>
        </w:rPr>
        <w:t>(ע"א</w:t>
      </w:r>
      <w:r w:rsidRPr="00D72C02">
        <w:rPr>
          <w:rFonts w:hint="cs"/>
          <w:sz w:val="10"/>
          <w:szCs w:val="10"/>
          <w:rtl/>
        </w:rPr>
        <w:t>)</w:t>
      </w:r>
      <w:r w:rsidRPr="00D72C02">
        <w:rPr>
          <w:rFonts w:hint="cs"/>
          <w:sz w:val="20"/>
          <w:szCs w:val="20"/>
          <w:rtl/>
        </w:rPr>
        <w:t>.</w:t>
      </w:r>
    </w:p>
  </w:footnote>
  <w:footnote w:id="4">
    <w:p w14:paraId="44123474" w14:textId="11B65DF2" w:rsidR="00F13F8E" w:rsidRDefault="00F13F8E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ולא מצינו גמרא זו אלא במסכת חלה </w:t>
      </w:r>
      <w:r w:rsidRPr="00F13F8E">
        <w:rPr>
          <w:rFonts w:hint="cs"/>
          <w:sz w:val="14"/>
          <w:szCs w:val="14"/>
          <w:rtl/>
        </w:rPr>
        <w:t>(פרק א', הלכה ה')</w:t>
      </w:r>
      <w:r>
        <w:rPr>
          <w:rFonts w:hint="cs"/>
          <w:rtl/>
        </w:rPr>
        <w:t>.</w:t>
      </w:r>
    </w:p>
  </w:footnote>
  <w:footnote w:id="5">
    <w:p w14:paraId="1059CA6D" w14:textId="13F10D74" w:rsidR="00B6044B" w:rsidRDefault="00B6044B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ומשמע שם שמדובר בדין דאורייתא.</w:t>
      </w:r>
    </w:p>
  </w:footnote>
  <w:footnote w:id="6">
    <w:p w14:paraId="13510235" w14:textId="237EC0E1" w:rsidR="00E723F1" w:rsidRDefault="00E723F1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הרמב"ן, ר' דוד, </w:t>
      </w:r>
      <w:proofErr w:type="spellStart"/>
      <w:r>
        <w:rPr>
          <w:rFonts w:hint="cs"/>
          <w:rtl/>
        </w:rPr>
        <w:t>מהר"ם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חלאווה</w:t>
      </w:r>
      <w:proofErr w:type="spellEnd"/>
      <w:r>
        <w:rPr>
          <w:rFonts w:hint="cs"/>
          <w:rtl/>
        </w:rPr>
        <w:t xml:space="preserve"> ועוד.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FE31" w14:textId="0B8B99FA" w:rsidR="00264375" w:rsidRDefault="00264375">
    <w:pPr>
      <w:pStyle w:val="a5"/>
    </w:pPr>
    <w:r>
      <w:rPr>
        <w:rFonts w:hint="cs"/>
        <w:rtl/>
      </w:rPr>
      <w:t>בס"ד</w:t>
    </w:r>
    <w:r w:rsidR="00913D65">
      <w:rPr>
        <w:rtl/>
      </w:rPr>
      <w:tab/>
    </w:r>
    <w:r w:rsidR="00913D65">
      <w:rPr>
        <w:rtl/>
      </w:rPr>
      <w:tab/>
    </w:r>
    <w:r w:rsidR="00913D65">
      <w:rPr>
        <w:rFonts w:hint="cs"/>
        <w:rtl/>
      </w:rPr>
      <w:t>י"ב תשרי תש"ף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5"/>
    <w:rsid w:val="000169CF"/>
    <w:rsid w:val="000527A0"/>
    <w:rsid w:val="000528A2"/>
    <w:rsid w:val="00153DCB"/>
    <w:rsid w:val="001A3DA8"/>
    <w:rsid w:val="001C18CF"/>
    <w:rsid w:val="001E24B6"/>
    <w:rsid w:val="00226268"/>
    <w:rsid w:val="00226479"/>
    <w:rsid w:val="00230598"/>
    <w:rsid w:val="00264375"/>
    <w:rsid w:val="002942DB"/>
    <w:rsid w:val="00315BED"/>
    <w:rsid w:val="003D5B4C"/>
    <w:rsid w:val="004361FF"/>
    <w:rsid w:val="0046137E"/>
    <w:rsid w:val="004C005C"/>
    <w:rsid w:val="004C237F"/>
    <w:rsid w:val="004F3F2F"/>
    <w:rsid w:val="00503CF1"/>
    <w:rsid w:val="00540EE7"/>
    <w:rsid w:val="00582C2B"/>
    <w:rsid w:val="005906E7"/>
    <w:rsid w:val="005C5AE6"/>
    <w:rsid w:val="005F4734"/>
    <w:rsid w:val="0061115E"/>
    <w:rsid w:val="00652B32"/>
    <w:rsid w:val="00664389"/>
    <w:rsid w:val="006A3D5F"/>
    <w:rsid w:val="006E1A90"/>
    <w:rsid w:val="006E5376"/>
    <w:rsid w:val="007174D2"/>
    <w:rsid w:val="00787DB5"/>
    <w:rsid w:val="007A2B27"/>
    <w:rsid w:val="007B2D28"/>
    <w:rsid w:val="007C0EB2"/>
    <w:rsid w:val="00806331"/>
    <w:rsid w:val="008456A3"/>
    <w:rsid w:val="00846619"/>
    <w:rsid w:val="008A0BCA"/>
    <w:rsid w:val="008F6C45"/>
    <w:rsid w:val="00913D65"/>
    <w:rsid w:val="00970249"/>
    <w:rsid w:val="0099003E"/>
    <w:rsid w:val="009A5F6E"/>
    <w:rsid w:val="009B76E6"/>
    <w:rsid w:val="00AA5E14"/>
    <w:rsid w:val="00AD4EA1"/>
    <w:rsid w:val="00B36CF7"/>
    <w:rsid w:val="00B6044B"/>
    <w:rsid w:val="00B721B0"/>
    <w:rsid w:val="00B868AC"/>
    <w:rsid w:val="00BE776B"/>
    <w:rsid w:val="00BF7839"/>
    <w:rsid w:val="00C67191"/>
    <w:rsid w:val="00D25C0A"/>
    <w:rsid w:val="00D439E3"/>
    <w:rsid w:val="00D725A5"/>
    <w:rsid w:val="00D72C02"/>
    <w:rsid w:val="00D825C8"/>
    <w:rsid w:val="00DA12C7"/>
    <w:rsid w:val="00DE46AB"/>
    <w:rsid w:val="00DE4B1A"/>
    <w:rsid w:val="00E14A32"/>
    <w:rsid w:val="00E357DE"/>
    <w:rsid w:val="00E4001A"/>
    <w:rsid w:val="00E723F1"/>
    <w:rsid w:val="00EC5F83"/>
    <w:rsid w:val="00ED7EBC"/>
    <w:rsid w:val="00EF78DA"/>
    <w:rsid w:val="00F13F8E"/>
    <w:rsid w:val="00F227D8"/>
    <w:rsid w:val="00F5319A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E105"/>
  <w15:chartTrackingRefBased/>
  <w15:docId w15:val="{ED677230-D198-4825-902E-E9EE7BF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14"/>
    <w:pPr>
      <w:bidi/>
      <w:jc w:val="both"/>
    </w:pPr>
    <w:rPr>
      <w:rFonts w:ascii="Assistant" w:hAnsi="Assistant" w:cs="Assistan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link w:val="10"/>
    <w:qFormat/>
    <w:rsid w:val="001E24B6"/>
    <w:pPr>
      <w:ind w:left="1440" w:right="1440"/>
    </w:pPr>
    <w:rPr>
      <w:rFonts w:cs="Assistant SemiBold"/>
      <w:sz w:val="20"/>
      <w:szCs w:val="20"/>
    </w:rPr>
  </w:style>
  <w:style w:type="character" w:customStyle="1" w:styleId="10">
    <w:name w:val="סגנון1 תו"/>
    <w:basedOn w:val="a0"/>
    <w:link w:val="1"/>
    <w:rsid w:val="001E24B6"/>
    <w:rPr>
      <w:rFonts w:ascii="Assistant" w:hAnsi="Assistant" w:cs="Assistant SemiBold"/>
      <w:sz w:val="20"/>
      <w:szCs w:val="20"/>
    </w:rPr>
  </w:style>
  <w:style w:type="paragraph" w:customStyle="1" w:styleId="a3">
    <w:name w:val="ציטוט חדש"/>
    <w:basedOn w:val="a"/>
    <w:link w:val="a4"/>
    <w:qFormat/>
    <w:rsid w:val="00970249"/>
    <w:pPr>
      <w:ind w:left="1440" w:right="1440"/>
    </w:pPr>
    <w:rPr>
      <w:rFonts w:asciiTheme="minorHAnsi" w:hAnsiTheme="minorHAnsi" w:cs="Assistant SemiBold"/>
      <w:sz w:val="20"/>
      <w:szCs w:val="20"/>
    </w:rPr>
  </w:style>
  <w:style w:type="character" w:customStyle="1" w:styleId="a4">
    <w:name w:val="ציטוט חדש תו"/>
    <w:basedOn w:val="a0"/>
    <w:link w:val="a3"/>
    <w:rsid w:val="00970249"/>
    <w:rPr>
      <w:rFonts w:cs="Assistant SemiBold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6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64375"/>
    <w:rPr>
      <w:rFonts w:ascii="Assistant" w:hAnsi="Assistant" w:cs="Assistan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64375"/>
    <w:rPr>
      <w:rFonts w:ascii="Assistant" w:hAnsi="Assistant" w:cs="Assistant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C237F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C237F"/>
    <w:rPr>
      <w:rFonts w:ascii="Assistant" w:hAnsi="Assistant" w:cs="Assistant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2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686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דביר</dc:creator>
  <cp:keywords/>
  <dc:description/>
  <cp:lastModifiedBy>דביר</cp:lastModifiedBy>
  <cp:revision>70</cp:revision>
  <dcterms:created xsi:type="dcterms:W3CDTF">2020-09-30T09:06:00Z</dcterms:created>
  <dcterms:modified xsi:type="dcterms:W3CDTF">2020-09-30T10:03:00Z</dcterms:modified>
</cp:coreProperties>
</file>