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045" w:rsidRPr="00B47908" w:rsidRDefault="00987045" w:rsidP="00987045">
      <w:pPr>
        <w:jc w:val="center"/>
        <w:rPr>
          <w:rFonts w:cs="Arial"/>
          <w:b/>
          <w:bCs/>
          <w:sz w:val="37"/>
          <w:szCs w:val="37"/>
          <w:u w:val="single"/>
          <w:lang w:bidi="he-IL"/>
        </w:rPr>
      </w:pPr>
      <w:r w:rsidRPr="00B47908">
        <w:rPr>
          <w:rFonts w:cs="Arial"/>
          <w:b/>
          <w:bCs/>
          <w:sz w:val="37"/>
          <w:szCs w:val="37"/>
          <w:u w:val="single"/>
          <w:lang w:bidi="he-IL"/>
        </w:rPr>
        <w:t>Scotch aged in Sherry casks</w:t>
      </w:r>
    </w:p>
    <w:p w:rsidR="002A1813" w:rsidRPr="00B47908" w:rsidRDefault="007267A0" w:rsidP="005F5BC5">
      <w:pPr>
        <w:jc w:val="right"/>
        <w:rPr>
          <w:rFonts w:cs="Arial"/>
          <w:sz w:val="37"/>
          <w:szCs w:val="37"/>
          <w:lang w:bidi="he-IL"/>
        </w:rPr>
      </w:pPr>
      <w:r w:rsidRPr="00B47908">
        <w:rPr>
          <w:rFonts w:cs="Arial" w:hint="cs"/>
          <w:b/>
          <w:bCs/>
          <w:sz w:val="37"/>
          <w:szCs w:val="37"/>
          <w:u w:val="single"/>
          <w:rtl/>
          <w:lang w:bidi="he-IL"/>
        </w:rPr>
        <w:t>(1)</w:t>
      </w:r>
      <w:r w:rsidR="00352AE0" w:rsidRPr="00B47908">
        <w:rPr>
          <w:rFonts w:cs="Arial"/>
          <w:b/>
          <w:bCs/>
          <w:sz w:val="37"/>
          <w:szCs w:val="37"/>
          <w:u w:val="single"/>
          <w:rtl/>
          <w:lang w:bidi="he-IL"/>
        </w:rPr>
        <w:t>טור יורה דעה הלכות יין נסך סימן קכג</w:t>
      </w:r>
      <w:r w:rsidR="00352AE0" w:rsidRPr="00B47908">
        <w:rPr>
          <w:rFonts w:cs="Arial" w:hint="cs"/>
          <w:sz w:val="37"/>
          <w:szCs w:val="37"/>
          <w:rtl/>
          <w:lang w:bidi="he-IL"/>
        </w:rPr>
        <w:t>-</w:t>
      </w:r>
      <w:r w:rsidR="00352AE0" w:rsidRPr="00B47908">
        <w:rPr>
          <w:rFonts w:cs="Arial"/>
          <w:sz w:val="37"/>
          <w:szCs w:val="37"/>
          <w:rtl/>
          <w:lang w:bidi="he-IL"/>
        </w:rPr>
        <w:t xml:space="preserve">יין שנתנסך לכו"ם אסור בהנאה </w:t>
      </w:r>
      <w:r w:rsidR="00352AE0" w:rsidRPr="00B47908">
        <w:rPr>
          <w:rFonts w:cs="Arial"/>
          <w:sz w:val="37"/>
          <w:szCs w:val="37"/>
          <w:u w:val="single"/>
          <w:rtl/>
          <w:lang w:bidi="he-IL"/>
        </w:rPr>
        <w:t>וחכמים גזרו על סתם יינן משום בנותיהן</w:t>
      </w:r>
    </w:p>
    <w:p w:rsidR="009D0EE2" w:rsidRPr="00B47908" w:rsidRDefault="007267A0" w:rsidP="00AF414E">
      <w:pPr>
        <w:jc w:val="right"/>
        <w:rPr>
          <w:rFonts w:cs="Arial"/>
          <w:sz w:val="37"/>
          <w:szCs w:val="37"/>
          <w:rtl/>
          <w:lang w:bidi="he-IL"/>
        </w:rPr>
      </w:pPr>
      <w:r w:rsidRPr="00B47908">
        <w:rPr>
          <w:rFonts w:cs="Arial" w:hint="cs"/>
          <w:b/>
          <w:bCs/>
          <w:sz w:val="37"/>
          <w:szCs w:val="37"/>
          <w:u w:val="single"/>
          <w:rtl/>
          <w:lang w:bidi="he-IL"/>
        </w:rPr>
        <w:t>(2)</w:t>
      </w:r>
      <w:r w:rsidR="009D0EE2" w:rsidRPr="00B47908">
        <w:rPr>
          <w:rFonts w:cs="Arial"/>
          <w:b/>
          <w:bCs/>
          <w:sz w:val="37"/>
          <w:szCs w:val="37"/>
          <w:u w:val="single"/>
          <w:rtl/>
          <w:lang w:bidi="he-IL"/>
        </w:rPr>
        <w:t>שולחן ערוך יורה דעה הלכות תערובות סימן קה סעיף א</w:t>
      </w:r>
      <w:r w:rsidR="009D0EE2" w:rsidRPr="00B47908">
        <w:rPr>
          <w:rFonts w:cs="Arial" w:hint="cs"/>
          <w:sz w:val="37"/>
          <w:szCs w:val="37"/>
          <w:rtl/>
          <w:lang w:bidi="he-IL"/>
        </w:rPr>
        <w:t xml:space="preserve">- </w:t>
      </w:r>
      <w:r w:rsidR="009D0EE2" w:rsidRPr="00B47908">
        <w:rPr>
          <w:rFonts w:cs="Arial"/>
          <w:sz w:val="37"/>
          <w:szCs w:val="37"/>
          <w:rtl/>
          <w:lang w:bidi="he-IL"/>
        </w:rPr>
        <w:t xml:space="preserve">איסור שנשרה עם היתר מעת לעת בצונן, מקרי </w:t>
      </w:r>
      <w:r w:rsidR="009D0EE2" w:rsidRPr="00B47908">
        <w:rPr>
          <w:rFonts w:cs="Arial"/>
          <w:sz w:val="37"/>
          <w:szCs w:val="37"/>
          <w:u w:val="single"/>
          <w:rtl/>
          <w:lang w:bidi="he-IL"/>
        </w:rPr>
        <w:t>כבוש</w:t>
      </w:r>
      <w:r w:rsidR="009D0EE2" w:rsidRPr="00B47908">
        <w:rPr>
          <w:rFonts w:cs="Arial"/>
          <w:sz w:val="37"/>
          <w:szCs w:val="37"/>
          <w:rtl/>
          <w:lang w:bidi="he-IL"/>
        </w:rPr>
        <w:t xml:space="preserve">, והרי הוא </w:t>
      </w:r>
      <w:r w:rsidR="009D0EE2" w:rsidRPr="00B47908">
        <w:rPr>
          <w:rFonts w:cs="Arial"/>
          <w:sz w:val="37"/>
          <w:szCs w:val="37"/>
          <w:u w:val="single"/>
          <w:rtl/>
          <w:lang w:bidi="he-IL"/>
        </w:rPr>
        <w:t>כמבושל</w:t>
      </w:r>
      <w:r w:rsidR="009D0EE2" w:rsidRPr="00B47908">
        <w:rPr>
          <w:rFonts w:cs="Arial"/>
          <w:sz w:val="37"/>
          <w:szCs w:val="37"/>
          <w:rtl/>
          <w:lang w:bidi="he-IL"/>
        </w:rPr>
        <w:t xml:space="preserve"> ונאסר כולו</w:t>
      </w:r>
      <w:r w:rsidR="009D0EE2" w:rsidRPr="00B47908">
        <w:rPr>
          <w:rFonts w:cs="Arial" w:hint="cs"/>
          <w:sz w:val="37"/>
          <w:szCs w:val="37"/>
          <w:rtl/>
          <w:lang w:bidi="he-IL"/>
        </w:rPr>
        <w:t>.</w:t>
      </w:r>
    </w:p>
    <w:p w:rsidR="00273A60" w:rsidRPr="00B47908" w:rsidRDefault="007267A0" w:rsidP="00257ED4">
      <w:pPr>
        <w:rPr>
          <w:rFonts w:cs="Arial" w:hint="cs"/>
          <w:sz w:val="37"/>
          <w:szCs w:val="37"/>
          <w:rtl/>
          <w:lang w:bidi="he-IL"/>
        </w:rPr>
      </w:pPr>
      <w:r w:rsidRPr="00B47908">
        <w:rPr>
          <w:b/>
          <w:bCs/>
          <w:sz w:val="37"/>
          <w:szCs w:val="37"/>
          <w:u w:val="single"/>
          <w:lang w:bidi="he-IL"/>
        </w:rPr>
        <w:t>(3)</w:t>
      </w:r>
      <w:r w:rsidR="00273A60" w:rsidRPr="00B47908">
        <w:rPr>
          <w:b/>
          <w:bCs/>
          <w:sz w:val="37"/>
          <w:szCs w:val="37"/>
          <w:u w:val="single"/>
        </w:rPr>
        <w:t>Mishne Halachos</w:t>
      </w:r>
      <w:r w:rsidR="008467E9" w:rsidRPr="00B47908">
        <w:rPr>
          <w:b/>
          <w:bCs/>
          <w:sz w:val="37"/>
          <w:szCs w:val="37"/>
          <w:u w:val="single"/>
        </w:rPr>
        <w:t xml:space="preserve"> Rav Menashe Klein</w:t>
      </w:r>
      <w:r w:rsidR="00B104CC" w:rsidRPr="00B47908">
        <w:rPr>
          <w:b/>
          <w:bCs/>
          <w:sz w:val="37"/>
          <w:szCs w:val="37"/>
          <w:u w:val="single"/>
        </w:rPr>
        <w:t xml:space="preserve"> </w:t>
      </w:r>
      <w:proofErr w:type="spellStart"/>
      <w:r w:rsidR="00B104CC" w:rsidRPr="00B47908">
        <w:rPr>
          <w:b/>
          <w:bCs/>
          <w:sz w:val="37"/>
          <w:szCs w:val="37"/>
          <w:u w:val="single"/>
        </w:rPr>
        <w:t>Ungvarer</w:t>
      </w:r>
      <w:proofErr w:type="spellEnd"/>
      <w:r w:rsidR="00B104CC" w:rsidRPr="00B47908">
        <w:rPr>
          <w:b/>
          <w:bCs/>
          <w:sz w:val="37"/>
          <w:szCs w:val="37"/>
          <w:u w:val="single"/>
        </w:rPr>
        <w:t xml:space="preserve"> Rav</w:t>
      </w:r>
      <w:r w:rsidR="00257ED4" w:rsidRPr="00B47908">
        <w:rPr>
          <w:b/>
          <w:bCs/>
          <w:sz w:val="37"/>
          <w:szCs w:val="37"/>
          <w:u w:val="single"/>
        </w:rPr>
        <w:t xml:space="preserve"> (</w:t>
      </w:r>
      <w:r w:rsidR="00257ED4" w:rsidRPr="00B47908">
        <w:rPr>
          <w:b/>
          <w:bCs/>
          <w:sz w:val="37"/>
          <w:szCs w:val="37"/>
          <w:u w:val="single"/>
          <w:lang w:bidi="he-IL"/>
        </w:rPr>
        <w:t>10:109</w:t>
      </w:r>
      <w:proofErr w:type="gramStart"/>
      <w:r w:rsidR="00257ED4" w:rsidRPr="00B47908">
        <w:rPr>
          <w:b/>
          <w:bCs/>
          <w:sz w:val="37"/>
          <w:szCs w:val="37"/>
          <w:u w:val="single"/>
          <w:lang w:bidi="he-IL"/>
        </w:rPr>
        <w:t>)</w:t>
      </w:r>
      <w:r w:rsidR="001B3535" w:rsidRPr="00B47908">
        <w:rPr>
          <w:b/>
          <w:bCs/>
          <w:sz w:val="37"/>
          <w:szCs w:val="37"/>
          <w:u w:val="single"/>
          <w:lang w:bidi="he-IL"/>
        </w:rPr>
        <w:t>-</w:t>
      </w:r>
      <w:proofErr w:type="gramEnd"/>
      <w:r w:rsidR="00273A60" w:rsidRPr="00B47908">
        <w:rPr>
          <w:sz w:val="37"/>
          <w:szCs w:val="37"/>
        </w:rPr>
        <w:t xml:space="preserve"> suggests that wine blios – as opposed to actual wine – which mix into Scotch were not included in the original prohibition.</w:t>
      </w:r>
      <w:r w:rsidR="00273A60" w:rsidRPr="00B47908">
        <w:rPr>
          <w:rFonts w:hint="cs"/>
          <w:sz w:val="37"/>
          <w:szCs w:val="37"/>
          <w:rtl/>
          <w:lang w:bidi="he-IL"/>
        </w:rPr>
        <w:t xml:space="preserve">  </w:t>
      </w:r>
      <w:r w:rsidR="00273A60" w:rsidRPr="00B47908">
        <w:rPr>
          <w:sz w:val="37"/>
          <w:szCs w:val="37"/>
        </w:rPr>
        <w:t>T</w:t>
      </w:r>
      <w:r w:rsidR="00273A60" w:rsidRPr="00B47908">
        <w:rPr>
          <w:sz w:val="37"/>
          <w:szCs w:val="37"/>
        </w:rPr>
        <w:t xml:space="preserve">his highly novel approach </w:t>
      </w:r>
      <w:r w:rsidR="00273A60" w:rsidRPr="00B47908">
        <w:rPr>
          <w:sz w:val="37"/>
          <w:szCs w:val="37"/>
        </w:rPr>
        <w:t>does not appear in other Poskim.</w:t>
      </w:r>
    </w:p>
    <w:p w:rsidR="001F2865" w:rsidRPr="00B47908" w:rsidRDefault="007267A0" w:rsidP="001F2865">
      <w:pPr>
        <w:jc w:val="right"/>
        <w:rPr>
          <w:rFonts w:cs="Arial"/>
          <w:sz w:val="37"/>
          <w:szCs w:val="37"/>
          <w:rtl/>
          <w:lang w:bidi="he-IL"/>
        </w:rPr>
      </w:pPr>
      <w:r w:rsidRPr="00B47908">
        <w:rPr>
          <w:rFonts w:cs="Arial" w:hint="cs"/>
          <w:b/>
          <w:bCs/>
          <w:sz w:val="37"/>
          <w:szCs w:val="37"/>
          <w:u w:val="single"/>
          <w:rtl/>
          <w:lang w:bidi="he-IL"/>
        </w:rPr>
        <w:t>(4)</w:t>
      </w:r>
      <w:r w:rsidR="001F2865" w:rsidRPr="00B47908">
        <w:rPr>
          <w:rFonts w:cs="Arial"/>
          <w:b/>
          <w:bCs/>
          <w:sz w:val="37"/>
          <w:szCs w:val="37"/>
          <w:u w:val="single"/>
          <w:rtl/>
          <w:lang w:bidi="he-IL"/>
        </w:rPr>
        <w:t>ש"ך יורה דעה סימן קלז ס"ק י</w:t>
      </w:r>
      <w:r w:rsidR="001F2865" w:rsidRPr="00B47908">
        <w:rPr>
          <w:rFonts w:cs="Arial" w:hint="cs"/>
          <w:sz w:val="37"/>
          <w:szCs w:val="37"/>
          <w:rtl/>
          <w:lang w:bidi="he-IL"/>
        </w:rPr>
        <w:t xml:space="preserve">- </w:t>
      </w:r>
      <w:r w:rsidR="001F2865" w:rsidRPr="00B47908">
        <w:rPr>
          <w:rFonts w:cs="Arial"/>
          <w:sz w:val="37"/>
          <w:szCs w:val="37"/>
          <w:rtl/>
          <w:lang w:bidi="he-IL"/>
        </w:rPr>
        <w:t xml:space="preserve">דאפילו </w:t>
      </w:r>
      <w:r w:rsidR="001F2865" w:rsidRPr="00B47908">
        <w:rPr>
          <w:rFonts w:cs="Arial"/>
          <w:sz w:val="37"/>
          <w:szCs w:val="37"/>
          <w:u w:val="single"/>
          <w:rtl/>
          <w:lang w:bidi="he-IL"/>
        </w:rPr>
        <w:t>אינן ב"י</w:t>
      </w:r>
      <w:r w:rsidR="001F2865" w:rsidRPr="00B47908">
        <w:rPr>
          <w:rFonts w:cs="Arial"/>
          <w:sz w:val="37"/>
          <w:szCs w:val="37"/>
          <w:rtl/>
          <w:lang w:bidi="he-IL"/>
        </w:rPr>
        <w:t xml:space="preserve"> אוסרים דלא שייך נטל"פ אלא בתבשיל אבל לא </w:t>
      </w:r>
      <w:r w:rsidR="001F2865" w:rsidRPr="00B47908">
        <w:rPr>
          <w:rFonts w:cs="Arial"/>
          <w:sz w:val="37"/>
          <w:szCs w:val="37"/>
          <w:u w:val="single"/>
          <w:rtl/>
          <w:lang w:bidi="he-IL"/>
        </w:rPr>
        <w:t>בכלי היין דאדרבה כל שמתיישנים נ"ט לשבח</w:t>
      </w:r>
      <w:r w:rsidR="001F2865" w:rsidRPr="00B47908">
        <w:rPr>
          <w:rFonts w:cs="Arial"/>
          <w:sz w:val="37"/>
          <w:szCs w:val="37"/>
          <w:rtl/>
          <w:lang w:bidi="he-IL"/>
        </w:rPr>
        <w:t xml:space="preserve"> כ"כ הפוסקים</w:t>
      </w:r>
    </w:p>
    <w:p w:rsidR="00D134C5" w:rsidRPr="00B47908" w:rsidRDefault="007267A0" w:rsidP="00D134C5">
      <w:pPr>
        <w:jc w:val="right"/>
        <w:rPr>
          <w:rFonts w:cs="Arial"/>
          <w:sz w:val="37"/>
          <w:szCs w:val="37"/>
          <w:lang w:bidi="he-IL"/>
        </w:rPr>
      </w:pPr>
      <w:r w:rsidRPr="00B47908">
        <w:rPr>
          <w:rFonts w:cs="Arial" w:hint="cs"/>
          <w:b/>
          <w:bCs/>
          <w:sz w:val="37"/>
          <w:szCs w:val="37"/>
          <w:u w:val="single"/>
          <w:rtl/>
          <w:lang w:bidi="he-IL"/>
        </w:rPr>
        <w:t>(5)</w:t>
      </w:r>
      <w:r w:rsidR="00D134C5" w:rsidRPr="00B47908">
        <w:rPr>
          <w:rFonts w:cs="Arial"/>
          <w:b/>
          <w:bCs/>
          <w:sz w:val="37"/>
          <w:szCs w:val="37"/>
          <w:u w:val="single"/>
          <w:rtl/>
          <w:lang w:bidi="he-IL"/>
        </w:rPr>
        <w:t>תלמוד בבלי מסכת עבודה זרה דף לג עמוד ב</w:t>
      </w:r>
      <w:r w:rsidR="00D134C5" w:rsidRPr="00B47908">
        <w:rPr>
          <w:rFonts w:cs="Arial" w:hint="cs"/>
          <w:sz w:val="37"/>
          <w:szCs w:val="37"/>
          <w:rtl/>
          <w:lang w:bidi="he-IL"/>
        </w:rPr>
        <w:t xml:space="preserve">- </w:t>
      </w:r>
      <w:r w:rsidR="00D134C5" w:rsidRPr="00B47908">
        <w:rPr>
          <w:rFonts w:cs="Arial"/>
          <w:sz w:val="37"/>
          <w:szCs w:val="37"/>
          <w:rtl/>
          <w:lang w:bidi="he-IL"/>
        </w:rPr>
        <w:t>רבינא שרא ליה לרב חייא בריה דרב יצחק למירמא ביה שכרא</w:t>
      </w:r>
    </w:p>
    <w:p w:rsidR="00625E0D" w:rsidRPr="00B47908" w:rsidRDefault="007267A0" w:rsidP="00FF5B2B">
      <w:pPr>
        <w:jc w:val="right"/>
        <w:rPr>
          <w:sz w:val="37"/>
          <w:szCs w:val="37"/>
          <w:rtl/>
          <w:lang w:bidi="he-IL"/>
        </w:rPr>
      </w:pPr>
      <w:r w:rsidRPr="00B47908">
        <w:rPr>
          <w:rFonts w:cs="Arial" w:hint="cs"/>
          <w:b/>
          <w:bCs/>
          <w:sz w:val="37"/>
          <w:szCs w:val="37"/>
          <w:u w:val="single"/>
          <w:rtl/>
          <w:lang w:bidi="he-IL"/>
        </w:rPr>
        <w:t>(6)</w:t>
      </w:r>
      <w:r w:rsidR="00920027" w:rsidRPr="00B47908">
        <w:rPr>
          <w:rFonts w:cs="Arial" w:hint="cs"/>
          <w:b/>
          <w:bCs/>
          <w:sz w:val="37"/>
          <w:szCs w:val="37"/>
          <w:u w:val="single"/>
          <w:rtl/>
          <w:lang w:bidi="he-IL"/>
        </w:rPr>
        <w:t>טור קלז:ד</w:t>
      </w:r>
      <w:r w:rsidR="00920027" w:rsidRPr="00B47908">
        <w:rPr>
          <w:rFonts w:cs="Arial" w:hint="cs"/>
          <w:sz w:val="37"/>
          <w:szCs w:val="37"/>
          <w:rtl/>
          <w:lang w:bidi="he-IL"/>
        </w:rPr>
        <w:t xml:space="preserve">- </w:t>
      </w:r>
      <w:r w:rsidR="00791777" w:rsidRPr="00B47908">
        <w:rPr>
          <w:sz w:val="37"/>
          <w:szCs w:val="37"/>
          <w:rtl/>
        </w:rPr>
        <w:t>אף ע״פ שאסור ליתן בהם יין בכלי שנשתמש בהן הנכר</w:t>
      </w:r>
      <w:r w:rsidR="00791777" w:rsidRPr="00B47908">
        <w:rPr>
          <w:sz w:val="37"/>
          <w:szCs w:val="37"/>
          <w:rtl/>
        </w:rPr>
        <w:t xml:space="preserve"> </w:t>
      </w:r>
      <w:r w:rsidR="00791777" w:rsidRPr="00B47908">
        <w:rPr>
          <w:sz w:val="37"/>
          <w:szCs w:val="37"/>
          <w:rtl/>
        </w:rPr>
        <w:t xml:space="preserve">ביין, מותר ליתן בהם מים ושכר ושאר כל מיני משקין </w:t>
      </w:r>
      <w:r w:rsidR="00FF5B2B" w:rsidRPr="00B47908">
        <w:rPr>
          <w:sz w:val="37"/>
          <w:szCs w:val="37"/>
          <w:u w:val="single"/>
          <w:rtl/>
        </w:rPr>
        <w:t>לפי שהיין פוגם אותם</w:t>
      </w:r>
      <w:r w:rsidR="00FF5B2B" w:rsidRPr="00B47908">
        <w:rPr>
          <w:rFonts w:hint="cs"/>
          <w:sz w:val="37"/>
          <w:szCs w:val="37"/>
          <w:rtl/>
          <w:lang w:bidi="he-IL"/>
        </w:rPr>
        <w:t>.</w:t>
      </w:r>
    </w:p>
    <w:p w:rsidR="00F65A7C" w:rsidRPr="00B47908" w:rsidRDefault="007267A0" w:rsidP="00DF6FE7">
      <w:pPr>
        <w:jc w:val="right"/>
        <w:rPr>
          <w:rFonts w:cs="Arial"/>
          <w:sz w:val="37"/>
          <w:szCs w:val="37"/>
          <w:lang w:bidi="he-IL"/>
        </w:rPr>
      </w:pPr>
      <w:r w:rsidRPr="00B47908">
        <w:rPr>
          <w:rFonts w:cs="Arial" w:hint="cs"/>
          <w:b/>
          <w:bCs/>
          <w:sz w:val="37"/>
          <w:szCs w:val="37"/>
          <w:u w:val="single"/>
          <w:rtl/>
          <w:lang w:bidi="he-IL"/>
        </w:rPr>
        <w:t>(7)</w:t>
      </w:r>
      <w:r w:rsidR="00625E0D" w:rsidRPr="00B47908">
        <w:rPr>
          <w:rFonts w:cs="Arial"/>
          <w:b/>
          <w:bCs/>
          <w:sz w:val="37"/>
          <w:szCs w:val="37"/>
          <w:u w:val="single"/>
          <w:rtl/>
          <w:lang w:bidi="he-IL"/>
        </w:rPr>
        <w:t>תלמוד בבלי מסכת עבודה זרה דף עג עמוד ב</w:t>
      </w:r>
      <w:r w:rsidR="00625E0D" w:rsidRPr="00B47908">
        <w:rPr>
          <w:rFonts w:cs="Arial" w:hint="cs"/>
          <w:sz w:val="37"/>
          <w:szCs w:val="37"/>
          <w:rtl/>
          <w:lang w:bidi="he-IL"/>
        </w:rPr>
        <w:t xml:space="preserve">- </w:t>
      </w:r>
      <w:r w:rsidR="00625E0D" w:rsidRPr="00B47908">
        <w:rPr>
          <w:rFonts w:cs="Arial"/>
          <w:sz w:val="37"/>
          <w:szCs w:val="37"/>
          <w:rtl/>
          <w:lang w:bidi="he-IL"/>
        </w:rPr>
        <w:t>ב' כוסות, אחד של חולין ואחד של תרומה, ומזגן ועירבן זה בזה, רואין את ההיתר כאילו אינו, והשאר מים רבין עליו ומבטלין אותו</w:t>
      </w:r>
      <w:r w:rsidR="00625E0D" w:rsidRPr="00B47908">
        <w:rPr>
          <w:rFonts w:cs="Arial" w:hint="cs"/>
          <w:sz w:val="37"/>
          <w:szCs w:val="37"/>
          <w:rtl/>
          <w:lang w:bidi="he-IL"/>
        </w:rPr>
        <w:t>.</w:t>
      </w:r>
    </w:p>
    <w:p w:rsidR="00DF6FE7" w:rsidRPr="00B47908" w:rsidRDefault="007267A0" w:rsidP="00DF6FE7">
      <w:pPr>
        <w:rPr>
          <w:sz w:val="37"/>
          <w:szCs w:val="37"/>
        </w:rPr>
      </w:pPr>
      <w:r w:rsidRPr="00B47908">
        <w:rPr>
          <w:b/>
          <w:bCs/>
          <w:sz w:val="37"/>
          <w:szCs w:val="37"/>
          <w:u w:val="single"/>
        </w:rPr>
        <w:t>(8)</w:t>
      </w:r>
      <w:r w:rsidR="00DF6FE7" w:rsidRPr="00B47908">
        <w:rPr>
          <w:b/>
          <w:bCs/>
          <w:sz w:val="37"/>
          <w:szCs w:val="37"/>
          <w:u w:val="single"/>
        </w:rPr>
        <w:t>The Ra’avad</w:t>
      </w:r>
      <w:r w:rsidR="00DF6FE7" w:rsidRPr="00B47908">
        <w:rPr>
          <w:sz w:val="37"/>
          <w:szCs w:val="37"/>
        </w:rPr>
        <w:t xml:space="preserve"> (Avodah Zara 39a d.h. v’Rebbi Yochonon, 73a d.h. yayin nesech) and </w:t>
      </w:r>
      <w:r w:rsidR="00DF6FE7" w:rsidRPr="00B47908">
        <w:rPr>
          <w:b/>
          <w:bCs/>
          <w:sz w:val="37"/>
          <w:szCs w:val="37"/>
          <w:u w:val="single"/>
        </w:rPr>
        <w:t>Ri Hazaken</w:t>
      </w:r>
      <w:r w:rsidR="00DF6FE7" w:rsidRPr="00B47908">
        <w:rPr>
          <w:sz w:val="37"/>
          <w:szCs w:val="37"/>
        </w:rPr>
        <w:t xml:space="preserve"> (quoted in Ran, Ritva, and Rashba, Avodah Zara 73b) understand that the above Gemara in Avodah Zara is referring to </w:t>
      </w:r>
      <w:r w:rsidR="00DF6FE7" w:rsidRPr="00B47908">
        <w:rPr>
          <w:sz w:val="37"/>
          <w:szCs w:val="37"/>
          <w:u w:val="single"/>
        </w:rPr>
        <w:t>two equal cups of wine</w:t>
      </w:r>
      <w:r w:rsidR="00DF6FE7" w:rsidRPr="00B47908">
        <w:rPr>
          <w:sz w:val="37"/>
          <w:szCs w:val="37"/>
          <w:u w:val="single"/>
        </w:rPr>
        <w:t>.</w:t>
      </w:r>
    </w:p>
    <w:p w:rsidR="00DF6FE7" w:rsidRPr="00B47908" w:rsidRDefault="007267A0" w:rsidP="00DF6FE7">
      <w:pPr>
        <w:rPr>
          <w:rFonts w:cs="Arial"/>
          <w:sz w:val="37"/>
          <w:szCs w:val="37"/>
          <w:rtl/>
          <w:lang w:bidi="he-IL"/>
        </w:rPr>
      </w:pPr>
      <w:r w:rsidRPr="00B47908">
        <w:rPr>
          <w:b/>
          <w:bCs/>
          <w:sz w:val="37"/>
          <w:szCs w:val="37"/>
          <w:u w:val="single"/>
        </w:rPr>
        <w:t>(9)</w:t>
      </w:r>
      <w:r w:rsidR="00DF6FE7" w:rsidRPr="00B47908">
        <w:rPr>
          <w:b/>
          <w:bCs/>
          <w:sz w:val="37"/>
          <w:szCs w:val="37"/>
          <w:u w:val="single"/>
        </w:rPr>
        <w:t>The Ritva, Ramban</w:t>
      </w:r>
      <w:r w:rsidR="00DF6FE7" w:rsidRPr="00B47908">
        <w:rPr>
          <w:sz w:val="37"/>
          <w:szCs w:val="37"/>
        </w:rPr>
        <w:t>-</w:t>
      </w:r>
      <w:r w:rsidR="00DF6FE7" w:rsidRPr="00B47908">
        <w:rPr>
          <w:sz w:val="37"/>
          <w:szCs w:val="37"/>
        </w:rPr>
        <w:t xml:space="preserve"> and others (Avodah Zara ad loc.), maintain that wine is no different than other forbidden substances, and sixty measures are necessary to nullify one measure of wine. They therefore explain that the Gemara refers to </w:t>
      </w:r>
      <w:r w:rsidR="00DF6FE7" w:rsidRPr="00B47908">
        <w:rPr>
          <w:sz w:val="37"/>
          <w:szCs w:val="37"/>
          <w:u w:val="single"/>
        </w:rPr>
        <w:t>unequal cups</w:t>
      </w:r>
      <w:r w:rsidR="00DF6FE7" w:rsidRPr="00B47908">
        <w:rPr>
          <w:sz w:val="37"/>
          <w:szCs w:val="37"/>
          <w:u w:val="single"/>
        </w:rPr>
        <w:t>.</w:t>
      </w:r>
    </w:p>
    <w:p w:rsidR="00F65A7C" w:rsidRPr="00B47908" w:rsidRDefault="00F953DA" w:rsidP="00DF6FE7">
      <w:pPr>
        <w:jc w:val="right"/>
        <w:rPr>
          <w:rFonts w:cs="Arial" w:hint="cs"/>
          <w:sz w:val="37"/>
          <w:szCs w:val="37"/>
          <w:rtl/>
          <w:lang w:bidi="he-IL"/>
        </w:rPr>
      </w:pPr>
      <w:r w:rsidRPr="00B47908">
        <w:rPr>
          <w:rFonts w:cs="Arial" w:hint="cs"/>
          <w:b/>
          <w:bCs/>
          <w:sz w:val="37"/>
          <w:szCs w:val="37"/>
          <w:u w:val="single"/>
          <w:rtl/>
          <w:lang w:bidi="he-IL"/>
        </w:rPr>
        <w:lastRenderedPageBreak/>
        <w:t>(10)</w:t>
      </w:r>
      <w:r w:rsidR="00F65A7C" w:rsidRPr="00B47908">
        <w:rPr>
          <w:rFonts w:cs="Arial"/>
          <w:b/>
          <w:bCs/>
          <w:sz w:val="37"/>
          <w:szCs w:val="37"/>
          <w:u w:val="single"/>
          <w:rtl/>
          <w:lang w:bidi="he-IL"/>
        </w:rPr>
        <w:t>שולחן ערוך יורה דעה הלכות יין נסך סימן קלד סעיף ה</w:t>
      </w:r>
      <w:r w:rsidR="00F65A7C" w:rsidRPr="00B47908">
        <w:rPr>
          <w:rFonts w:cs="Arial" w:hint="cs"/>
          <w:sz w:val="37"/>
          <w:szCs w:val="37"/>
          <w:rtl/>
          <w:lang w:bidi="he-IL"/>
        </w:rPr>
        <w:t xml:space="preserve">- </w:t>
      </w:r>
      <w:r w:rsidR="00F65A7C" w:rsidRPr="00B47908">
        <w:rPr>
          <w:rFonts w:cs="Arial"/>
          <w:sz w:val="37"/>
          <w:szCs w:val="37"/>
          <w:rtl/>
          <w:lang w:bidi="he-IL"/>
        </w:rPr>
        <w:t>כמה יהא במים ויהא בהם כדי לבטל טעם היין, ששה חלקים כנגדו</w:t>
      </w:r>
      <w:r w:rsidR="00F65A7C" w:rsidRPr="00B47908">
        <w:rPr>
          <w:rFonts w:cs="Arial" w:hint="cs"/>
          <w:sz w:val="37"/>
          <w:szCs w:val="37"/>
          <w:rtl/>
          <w:lang w:bidi="he-IL"/>
        </w:rPr>
        <w:t>.</w:t>
      </w:r>
    </w:p>
    <w:p w:rsidR="00F65A7C" w:rsidRPr="00B47908" w:rsidRDefault="00F953DA" w:rsidP="00F65A7C">
      <w:pPr>
        <w:rPr>
          <w:sz w:val="37"/>
          <w:szCs w:val="37"/>
        </w:rPr>
      </w:pPr>
      <w:r w:rsidRPr="00B47908">
        <w:rPr>
          <w:b/>
          <w:bCs/>
          <w:sz w:val="37"/>
          <w:szCs w:val="37"/>
          <w:u w:val="single"/>
        </w:rPr>
        <w:t>(11)</w:t>
      </w:r>
      <w:r w:rsidR="00F65A7C" w:rsidRPr="00B47908">
        <w:rPr>
          <w:b/>
          <w:bCs/>
          <w:sz w:val="37"/>
          <w:szCs w:val="37"/>
          <w:u w:val="single"/>
        </w:rPr>
        <w:t>The Rashba</w:t>
      </w:r>
      <w:r w:rsidR="00F65A7C" w:rsidRPr="00B47908">
        <w:rPr>
          <w:sz w:val="37"/>
          <w:szCs w:val="37"/>
        </w:rPr>
        <w:t>- (Toras Habayis 5:6 pg. 60b; Chidushei HaRashba, Avodah Zara 73b) explains that</w:t>
      </w:r>
      <w:r w:rsidR="00F65A7C" w:rsidRPr="00B47908">
        <w:rPr>
          <w:b/>
          <w:bCs/>
          <w:sz w:val="37"/>
          <w:szCs w:val="37"/>
          <w:u w:val="single"/>
        </w:rPr>
        <w:t xml:space="preserve"> wine loses its “wine” status when mixed with other liquids six times its volume, referred to as “kiyuha-acid” instead</w:t>
      </w:r>
      <w:r w:rsidR="00F65A7C" w:rsidRPr="00B47908">
        <w:rPr>
          <w:sz w:val="37"/>
          <w:szCs w:val="37"/>
        </w:rPr>
        <w:t xml:space="preserve">. This is also the opinion of the Ran (Avodah Zara 36b </w:t>
      </w:r>
      <w:proofErr w:type="gramStart"/>
      <w:r w:rsidR="00F65A7C" w:rsidRPr="00B47908">
        <w:rPr>
          <w:sz w:val="37"/>
          <w:szCs w:val="37"/>
        </w:rPr>
        <w:t>d.h</w:t>
      </w:r>
      <w:proofErr w:type="gramEnd"/>
      <w:r w:rsidR="00F65A7C" w:rsidRPr="00B47908">
        <w:rPr>
          <w:sz w:val="37"/>
          <w:szCs w:val="37"/>
        </w:rPr>
        <w:t>. v’garsinan) and Tosfos (Chulin 25b d.h. hamitamed).30 Rav Moshe Feinstein (YD I siman 62 d.h. v’hinei)</w:t>
      </w:r>
    </w:p>
    <w:p w:rsidR="00987045" w:rsidRPr="00B47908" w:rsidRDefault="00F953DA" w:rsidP="00987045">
      <w:pPr>
        <w:rPr>
          <w:sz w:val="37"/>
          <w:szCs w:val="37"/>
          <w:rtl/>
          <w:lang w:bidi="he-IL"/>
        </w:rPr>
      </w:pPr>
      <w:r w:rsidRPr="00B47908">
        <w:rPr>
          <w:b/>
          <w:bCs/>
          <w:sz w:val="37"/>
          <w:szCs w:val="37"/>
          <w:u w:val="single"/>
        </w:rPr>
        <w:t>(12)</w:t>
      </w:r>
      <w:r w:rsidR="00987045" w:rsidRPr="00B47908">
        <w:rPr>
          <w:b/>
          <w:bCs/>
          <w:sz w:val="37"/>
          <w:szCs w:val="37"/>
          <w:u w:val="single"/>
        </w:rPr>
        <w:t>Igros Moshe (YD I siman 63</w:t>
      </w:r>
      <w:proofErr w:type="gramStart"/>
      <w:r w:rsidR="00987045" w:rsidRPr="00B47908">
        <w:rPr>
          <w:b/>
          <w:bCs/>
          <w:sz w:val="37"/>
          <w:szCs w:val="37"/>
          <w:u w:val="single"/>
        </w:rPr>
        <w:t>)-</w:t>
      </w:r>
      <w:proofErr w:type="gramEnd"/>
      <w:r w:rsidR="00987045" w:rsidRPr="00B47908">
        <w:rPr>
          <w:sz w:val="37"/>
          <w:szCs w:val="37"/>
        </w:rPr>
        <w:t xml:space="preserve"> There, Rav Pinchos Teitz is quoted as arguing that wine added to whiskey should not be nullified because it was </w:t>
      </w:r>
      <w:r w:rsidR="00987045" w:rsidRPr="00B47908">
        <w:rPr>
          <w:b/>
          <w:bCs/>
          <w:sz w:val="37"/>
          <w:szCs w:val="37"/>
          <w:u w:val="single"/>
        </w:rPr>
        <w:t>avida l’ta’ama</w:t>
      </w:r>
      <w:r w:rsidR="00987045" w:rsidRPr="00B47908">
        <w:rPr>
          <w:sz w:val="37"/>
          <w:szCs w:val="37"/>
        </w:rPr>
        <w:t>, added for flavor. Rav Moshe countered that even if wine was added for flavor the whiskey would not be prohibited because wine which is batul b’sheish is referred to as kiyuha and treated as “acid.”</w:t>
      </w:r>
      <w:r w:rsidR="00987045" w:rsidRPr="00B47908">
        <w:rPr>
          <w:sz w:val="37"/>
          <w:szCs w:val="37"/>
          <w:rtl/>
        </w:rPr>
        <w:t xml:space="preserve">וא״כ מה לנו אם בכוונה ניתן מצד טעם הקיוהא – הא עכ״פ לא ניתן לטעם יין שזה ליכא במציאות, </w:t>
      </w:r>
      <w:r w:rsidR="00987045" w:rsidRPr="00B47908">
        <w:rPr>
          <w:sz w:val="37"/>
          <w:szCs w:val="37"/>
          <w:u w:val="single"/>
          <w:rtl/>
        </w:rPr>
        <w:t>וטעם  הקיוהא לא נחשב להאסר</w:t>
      </w:r>
      <w:r w:rsidR="00987045" w:rsidRPr="00B47908">
        <w:rPr>
          <w:rFonts w:hint="cs"/>
          <w:sz w:val="37"/>
          <w:szCs w:val="37"/>
          <w:rtl/>
          <w:lang w:bidi="he-IL"/>
        </w:rPr>
        <w:t>.</w:t>
      </w:r>
    </w:p>
    <w:p w:rsidR="00987045" w:rsidRPr="00B47908" w:rsidRDefault="00987045" w:rsidP="00987045">
      <w:pPr>
        <w:rPr>
          <w:sz w:val="37"/>
          <w:szCs w:val="37"/>
          <w:rtl/>
        </w:rPr>
      </w:pPr>
      <w:r w:rsidRPr="00B47908">
        <w:rPr>
          <w:sz w:val="37"/>
          <w:szCs w:val="37"/>
        </w:rPr>
        <w:t xml:space="preserve">An additional reason to disregard the concern of avida l’ta’ama is that some Poskim are of the opinion that </w:t>
      </w:r>
      <w:r w:rsidRPr="00B47908">
        <w:rPr>
          <w:sz w:val="37"/>
          <w:szCs w:val="37"/>
          <w:u w:val="single"/>
        </w:rPr>
        <w:t xml:space="preserve">avida l’ta’ama prevents bitul only of actual forbidden items (bi’en); imparted flavors (blios), however, are not subject to the limitations of avida l’ta’ama </w:t>
      </w:r>
      <w:r w:rsidRPr="00B47908">
        <w:rPr>
          <w:sz w:val="37"/>
          <w:szCs w:val="37"/>
        </w:rPr>
        <w:t>(Beis Shlomo OC siman 87; S’dei Chemed, Ma’a’reches chometz u’matzah 4:6:10 and 4:12, Volume 7, pages 103 and 108). Other Poskim, however, argue that the concern of avida l’ta’ama applies to bi’en and blios alike (Pri Migadim M”Z OC 451:27).</w:t>
      </w:r>
    </w:p>
    <w:p w:rsidR="00F65A7C" w:rsidRPr="00B47908" w:rsidRDefault="00F953DA" w:rsidP="00F65A7C">
      <w:pPr>
        <w:rPr>
          <w:sz w:val="37"/>
          <w:szCs w:val="37"/>
        </w:rPr>
      </w:pPr>
      <w:r w:rsidRPr="00B47908">
        <w:rPr>
          <w:b/>
          <w:bCs/>
          <w:sz w:val="37"/>
          <w:szCs w:val="37"/>
          <w:u w:val="single"/>
        </w:rPr>
        <w:t>(13)</w:t>
      </w:r>
      <w:r w:rsidR="00F65A7C" w:rsidRPr="00B47908">
        <w:rPr>
          <w:b/>
          <w:bCs/>
          <w:sz w:val="37"/>
          <w:szCs w:val="37"/>
          <w:u w:val="single"/>
        </w:rPr>
        <w:t>The Shach (134:21)</w:t>
      </w:r>
      <w:r w:rsidR="00F65A7C" w:rsidRPr="00B47908">
        <w:rPr>
          <w:sz w:val="37"/>
          <w:szCs w:val="37"/>
        </w:rPr>
        <w:t xml:space="preserve">- Quoting Issur V’Heter 23:16 states that non-kosher wine is </w:t>
      </w:r>
      <w:r w:rsidR="00F65A7C" w:rsidRPr="00B47908">
        <w:rPr>
          <w:sz w:val="37"/>
          <w:szCs w:val="37"/>
          <w:u w:val="single"/>
        </w:rPr>
        <w:t>batul b’sheish only when mixed with water</w:t>
      </w:r>
      <w:r w:rsidR="00F65A7C" w:rsidRPr="00B47908">
        <w:rPr>
          <w:sz w:val="37"/>
          <w:szCs w:val="37"/>
        </w:rPr>
        <w:t xml:space="preserve">. </w:t>
      </w:r>
    </w:p>
    <w:p w:rsidR="00F65A7C" w:rsidRPr="00B47908" w:rsidRDefault="00F953DA" w:rsidP="00F65A7C">
      <w:pPr>
        <w:rPr>
          <w:sz w:val="37"/>
          <w:szCs w:val="37"/>
        </w:rPr>
      </w:pPr>
      <w:r w:rsidRPr="00B47908">
        <w:rPr>
          <w:b/>
          <w:bCs/>
          <w:sz w:val="37"/>
          <w:szCs w:val="37"/>
          <w:u w:val="single"/>
        </w:rPr>
        <w:t>(14)</w:t>
      </w:r>
      <w:r w:rsidR="00F65A7C" w:rsidRPr="00B47908">
        <w:rPr>
          <w:b/>
          <w:bCs/>
          <w:sz w:val="37"/>
          <w:szCs w:val="37"/>
          <w:u w:val="single"/>
        </w:rPr>
        <w:t>The Taz (114s.k.4)</w:t>
      </w:r>
      <w:r w:rsidR="00F65A7C" w:rsidRPr="00B47908">
        <w:rPr>
          <w:sz w:val="37"/>
          <w:szCs w:val="37"/>
        </w:rPr>
        <w:t xml:space="preserve">- Follows the opinion that </w:t>
      </w:r>
      <w:r w:rsidR="00F65A7C" w:rsidRPr="00B47908">
        <w:rPr>
          <w:sz w:val="37"/>
          <w:szCs w:val="37"/>
          <w:u w:val="single"/>
        </w:rPr>
        <w:t>wine is batul b’sheish in other liquids.</w:t>
      </w:r>
      <w:r w:rsidR="00F65A7C" w:rsidRPr="00B47908">
        <w:rPr>
          <w:sz w:val="37"/>
          <w:szCs w:val="37"/>
        </w:rPr>
        <w:t xml:space="preserve"> Many Poskim side with the Taz, including the Pri Chadash (YD 114:10), Chochmas Adam (66:15) and Magen </w:t>
      </w:r>
      <w:r w:rsidR="00F65A7C" w:rsidRPr="00B47908">
        <w:rPr>
          <w:sz w:val="37"/>
          <w:szCs w:val="37"/>
        </w:rPr>
        <w:lastRenderedPageBreak/>
        <w:t>Avrohom (204:16).36 This is also the opinion of the Minchas Yitzchok (Vol. II 28:4) and Rav Moshe (Igros Moshe YD I siman 62).</w:t>
      </w:r>
    </w:p>
    <w:p w:rsidR="00920027" w:rsidRPr="00B47908" w:rsidRDefault="00F953DA" w:rsidP="00DA5C8A">
      <w:pPr>
        <w:rPr>
          <w:rFonts w:cs="Arial"/>
          <w:b/>
          <w:bCs/>
          <w:sz w:val="37"/>
          <w:szCs w:val="37"/>
          <w:u w:val="single"/>
          <w:lang w:bidi="he-IL"/>
        </w:rPr>
      </w:pPr>
      <w:r w:rsidRPr="00B47908">
        <w:rPr>
          <w:b/>
          <w:bCs/>
          <w:sz w:val="37"/>
          <w:szCs w:val="37"/>
          <w:u w:val="single"/>
        </w:rPr>
        <w:t>(15)</w:t>
      </w:r>
      <w:r w:rsidR="00DF6FE7" w:rsidRPr="00B47908">
        <w:rPr>
          <w:b/>
          <w:bCs/>
          <w:sz w:val="37"/>
          <w:szCs w:val="37"/>
          <w:u w:val="single"/>
        </w:rPr>
        <w:t>The barrel calculator</w:t>
      </w:r>
      <w:r w:rsidR="00DF6FE7" w:rsidRPr="00B47908">
        <w:rPr>
          <w:sz w:val="37"/>
          <w:szCs w:val="37"/>
        </w:rPr>
        <w:t xml:space="preserve"> </w:t>
      </w:r>
      <w:r w:rsidR="00DA5C8A" w:rsidRPr="00B47908">
        <w:rPr>
          <w:sz w:val="37"/>
          <w:szCs w:val="37"/>
        </w:rPr>
        <w:t>- I</w:t>
      </w:r>
      <w:r w:rsidR="00DF6FE7" w:rsidRPr="00B47908">
        <w:rPr>
          <w:sz w:val="37"/>
          <w:szCs w:val="37"/>
        </w:rPr>
        <w:t xml:space="preserve">ndicates that the internal volume of liquid contained inside this barrel is </w:t>
      </w:r>
      <w:r w:rsidR="00DF6FE7" w:rsidRPr="00B47908">
        <w:rPr>
          <w:sz w:val="37"/>
          <w:szCs w:val="37"/>
          <w:u w:val="single"/>
        </w:rPr>
        <w:t xml:space="preserve">511.5L </w:t>
      </w:r>
      <w:r w:rsidR="00DF6FE7" w:rsidRPr="00B47908">
        <w:rPr>
          <w:sz w:val="37"/>
          <w:szCs w:val="37"/>
        </w:rPr>
        <w:t xml:space="preserve">(fairly close to the stated volume), while the external volume of the barrel is </w:t>
      </w:r>
      <w:r w:rsidR="00DF6FE7" w:rsidRPr="00B47908">
        <w:rPr>
          <w:sz w:val="37"/>
          <w:szCs w:val="37"/>
          <w:u w:val="single"/>
        </w:rPr>
        <w:t>647.4L</w:t>
      </w:r>
      <w:r w:rsidR="00DF6FE7" w:rsidRPr="00B47908">
        <w:rPr>
          <w:sz w:val="37"/>
          <w:szCs w:val="37"/>
        </w:rPr>
        <w:t xml:space="preserve">.56 Accordingly, it appears that the walls have a volume of </w:t>
      </w:r>
      <w:r w:rsidR="00DF6FE7" w:rsidRPr="00B47908">
        <w:rPr>
          <w:sz w:val="37"/>
          <w:szCs w:val="37"/>
          <w:u w:val="single"/>
        </w:rPr>
        <w:t>135.9L</w:t>
      </w:r>
      <w:r w:rsidR="00DF6FE7" w:rsidRPr="00B47908">
        <w:rPr>
          <w:sz w:val="37"/>
          <w:szCs w:val="37"/>
        </w:rPr>
        <w:t xml:space="preserve">, which gives a liquid-to-wood ratio of </w:t>
      </w:r>
      <w:r w:rsidR="00DF6FE7" w:rsidRPr="00B47908">
        <w:rPr>
          <w:sz w:val="37"/>
          <w:szCs w:val="37"/>
          <w:u w:val="single"/>
        </w:rPr>
        <w:t>3.76:1</w:t>
      </w:r>
      <w:r w:rsidR="00DF6FE7" w:rsidRPr="00B47908">
        <w:rPr>
          <w:sz w:val="37"/>
          <w:szCs w:val="37"/>
        </w:rPr>
        <w:t>, and would not be batul b’sheish</w:t>
      </w:r>
      <w:r w:rsidR="00DF6FE7" w:rsidRPr="00B47908">
        <w:rPr>
          <w:sz w:val="37"/>
          <w:szCs w:val="37"/>
        </w:rPr>
        <w:t>.</w:t>
      </w:r>
      <w:r w:rsidR="00791777" w:rsidRPr="00B47908">
        <w:rPr>
          <w:rFonts w:cs="Arial"/>
          <w:b/>
          <w:bCs/>
          <w:sz w:val="37"/>
          <w:szCs w:val="37"/>
          <w:u w:val="single"/>
          <w:lang w:bidi="he-IL"/>
        </w:rPr>
        <w:t xml:space="preserve"> </w:t>
      </w:r>
    </w:p>
    <w:p w:rsidR="00D5679B" w:rsidRPr="00B47908" w:rsidRDefault="00F953DA" w:rsidP="00D5679B">
      <w:pPr>
        <w:jc w:val="right"/>
        <w:rPr>
          <w:rFonts w:cs="Arial"/>
          <w:sz w:val="37"/>
          <w:szCs w:val="37"/>
          <w:rtl/>
          <w:lang w:bidi="he-IL"/>
        </w:rPr>
      </w:pPr>
      <w:r w:rsidRPr="00B47908">
        <w:rPr>
          <w:rFonts w:cs="Arial" w:hint="cs"/>
          <w:b/>
          <w:bCs/>
          <w:sz w:val="37"/>
          <w:szCs w:val="37"/>
          <w:u w:val="single"/>
          <w:rtl/>
          <w:lang w:bidi="he-IL"/>
        </w:rPr>
        <w:t>(16)</w:t>
      </w:r>
      <w:r w:rsidR="00D5679B" w:rsidRPr="00B47908">
        <w:rPr>
          <w:rFonts w:cs="Arial"/>
          <w:b/>
          <w:bCs/>
          <w:sz w:val="37"/>
          <w:szCs w:val="37"/>
          <w:u w:val="single"/>
          <w:rtl/>
          <w:lang w:bidi="he-IL"/>
        </w:rPr>
        <w:t>ט"ז יורה דעה סימן קה ס"ק א</w:t>
      </w:r>
      <w:r w:rsidR="00D5679B" w:rsidRPr="00B47908">
        <w:rPr>
          <w:rFonts w:cs="Arial" w:hint="cs"/>
          <w:sz w:val="37"/>
          <w:szCs w:val="37"/>
          <w:rtl/>
          <w:lang w:bidi="he-IL"/>
        </w:rPr>
        <w:t xml:space="preserve">- </w:t>
      </w:r>
      <w:r w:rsidR="00D5679B" w:rsidRPr="00B47908">
        <w:rPr>
          <w:rFonts w:cs="Arial"/>
          <w:sz w:val="37"/>
          <w:szCs w:val="37"/>
          <w:rtl/>
          <w:lang w:bidi="he-IL"/>
        </w:rPr>
        <w:t xml:space="preserve">דהחבית שנאסרה ע"י בלע יין עובד כוכבים בצונן אינו אלא מועט וע"כ </w:t>
      </w:r>
      <w:r w:rsidR="00D5679B" w:rsidRPr="00B47908">
        <w:rPr>
          <w:rFonts w:cs="Arial"/>
          <w:sz w:val="37"/>
          <w:szCs w:val="37"/>
          <w:u w:val="single"/>
          <w:rtl/>
          <w:lang w:bidi="he-IL"/>
        </w:rPr>
        <w:t>סגי ליה בקליפת הכלי</w:t>
      </w:r>
      <w:r w:rsidR="00D5679B" w:rsidRPr="00B47908">
        <w:rPr>
          <w:rFonts w:cs="Arial"/>
          <w:sz w:val="37"/>
          <w:szCs w:val="37"/>
          <w:rtl/>
          <w:lang w:bidi="he-IL"/>
        </w:rPr>
        <w:t xml:space="preserve"> להכשיר</w:t>
      </w:r>
    </w:p>
    <w:p w:rsidR="00D5679B" w:rsidRPr="00B47908" w:rsidRDefault="00D5679B" w:rsidP="00D5679B">
      <w:pPr>
        <w:rPr>
          <w:rFonts w:cs="Arial" w:hint="cs"/>
          <w:b/>
          <w:bCs/>
          <w:sz w:val="37"/>
          <w:szCs w:val="37"/>
          <w:u w:val="single"/>
          <w:rtl/>
          <w:lang w:bidi="he-IL"/>
        </w:rPr>
      </w:pPr>
      <w:r w:rsidRPr="00B47908">
        <w:rPr>
          <w:sz w:val="37"/>
          <w:szCs w:val="37"/>
        </w:rPr>
        <w:t xml:space="preserve">The </w:t>
      </w:r>
      <w:r w:rsidRPr="00B47908">
        <w:rPr>
          <w:b/>
          <w:bCs/>
          <w:sz w:val="37"/>
          <w:szCs w:val="37"/>
          <w:u w:val="single"/>
        </w:rPr>
        <w:t>Chacham Tzvi</w:t>
      </w:r>
      <w:r w:rsidRPr="00B47908">
        <w:rPr>
          <w:sz w:val="37"/>
          <w:szCs w:val="37"/>
        </w:rPr>
        <w:t xml:space="preserve"> (siman 75) and </w:t>
      </w:r>
      <w:r w:rsidRPr="00B47908">
        <w:rPr>
          <w:b/>
          <w:bCs/>
          <w:sz w:val="37"/>
          <w:szCs w:val="37"/>
          <w:u w:val="single"/>
        </w:rPr>
        <w:t>Macha’ne Ephraim</w:t>
      </w:r>
      <w:r w:rsidRPr="00B47908">
        <w:rPr>
          <w:sz w:val="37"/>
          <w:szCs w:val="37"/>
        </w:rPr>
        <w:t xml:space="preserve"> (Hilchos Ma’achalos Asuros 11:15, quoting his son) argue with the Shach and maintain that even if yayin nesech was stored in a barrel for many days, only the klipah is prohibited. This is also the opinion of the </w:t>
      </w:r>
      <w:r w:rsidRPr="00B47908">
        <w:rPr>
          <w:b/>
          <w:bCs/>
          <w:sz w:val="37"/>
          <w:szCs w:val="37"/>
          <w:u w:val="single"/>
        </w:rPr>
        <w:t>Chazon Ish</w:t>
      </w:r>
      <w:r w:rsidRPr="00B47908">
        <w:rPr>
          <w:sz w:val="37"/>
          <w:szCs w:val="37"/>
        </w:rPr>
        <w:t xml:space="preserve"> (55:6), </w:t>
      </w:r>
      <w:r w:rsidRPr="00B47908">
        <w:rPr>
          <w:b/>
          <w:bCs/>
          <w:sz w:val="37"/>
          <w:szCs w:val="37"/>
          <w:u w:val="single"/>
        </w:rPr>
        <w:t>Yad Yehuda</w:t>
      </w:r>
      <w:r w:rsidRPr="00B47908">
        <w:rPr>
          <w:sz w:val="37"/>
          <w:szCs w:val="37"/>
        </w:rPr>
        <w:t xml:space="preserve"> (Hilchos Melicha, 69:64, pg. 69a, column 2) and </w:t>
      </w:r>
      <w:r w:rsidRPr="00B47908">
        <w:rPr>
          <w:b/>
          <w:bCs/>
          <w:sz w:val="37"/>
          <w:szCs w:val="37"/>
          <w:u w:val="single"/>
        </w:rPr>
        <w:t>Chikrei Lev</w:t>
      </w:r>
      <w:r w:rsidRPr="00B47908">
        <w:rPr>
          <w:sz w:val="37"/>
          <w:szCs w:val="37"/>
        </w:rPr>
        <w:t xml:space="preserve"> (siman 77).</w:t>
      </w:r>
    </w:p>
    <w:p w:rsidR="00247FE7" w:rsidRPr="00B47908" w:rsidRDefault="00F953DA" w:rsidP="00247FE7">
      <w:pPr>
        <w:jc w:val="right"/>
        <w:rPr>
          <w:rFonts w:cs="Arial"/>
          <w:sz w:val="37"/>
          <w:szCs w:val="37"/>
          <w:rtl/>
          <w:lang w:bidi="he-IL"/>
        </w:rPr>
      </w:pPr>
      <w:r w:rsidRPr="00B47908">
        <w:rPr>
          <w:rFonts w:cs="Arial" w:hint="cs"/>
          <w:b/>
          <w:bCs/>
          <w:sz w:val="37"/>
          <w:szCs w:val="37"/>
          <w:u w:val="single"/>
          <w:rtl/>
          <w:lang w:bidi="he-IL"/>
        </w:rPr>
        <w:t>(17)</w:t>
      </w:r>
      <w:r w:rsidR="00247FE7" w:rsidRPr="00B47908">
        <w:rPr>
          <w:rFonts w:cs="Arial"/>
          <w:b/>
          <w:bCs/>
          <w:sz w:val="37"/>
          <w:szCs w:val="37"/>
          <w:u w:val="single"/>
          <w:rtl/>
          <w:lang w:bidi="he-IL"/>
        </w:rPr>
        <w:t>ש"ך יורה דעה סימן צח ס"ק יג</w:t>
      </w:r>
      <w:r w:rsidR="00247FE7" w:rsidRPr="00B47908">
        <w:rPr>
          <w:rFonts w:cs="Arial" w:hint="cs"/>
          <w:sz w:val="37"/>
          <w:szCs w:val="37"/>
          <w:rtl/>
          <w:lang w:bidi="he-IL"/>
        </w:rPr>
        <w:t xml:space="preserve">- </w:t>
      </w:r>
      <w:r w:rsidR="00247FE7" w:rsidRPr="00B47908">
        <w:rPr>
          <w:rFonts w:cs="Arial"/>
          <w:sz w:val="37"/>
          <w:szCs w:val="37"/>
          <w:rtl/>
          <w:lang w:bidi="he-IL"/>
        </w:rPr>
        <w:t xml:space="preserve">וכתוב בת"ח ריש כלל פ"ה בשם </w:t>
      </w:r>
      <w:r w:rsidR="00247FE7" w:rsidRPr="00B47908">
        <w:rPr>
          <w:rFonts w:cs="Arial"/>
          <w:sz w:val="37"/>
          <w:szCs w:val="37"/>
          <w:u w:val="single"/>
          <w:rtl/>
          <w:lang w:bidi="he-IL"/>
        </w:rPr>
        <w:t>או"ה</w:t>
      </w:r>
      <w:r w:rsidR="00247FE7" w:rsidRPr="00B47908">
        <w:rPr>
          <w:rFonts w:cs="Arial"/>
          <w:sz w:val="37"/>
          <w:szCs w:val="37"/>
          <w:rtl/>
          <w:lang w:bidi="he-IL"/>
        </w:rPr>
        <w:t xml:space="preserve"> דה"ה אם נאסר הכלי ע"י עירוי א"צ לשער רק כדי קליפה אבל אם נאסר ע"י </w:t>
      </w:r>
      <w:r w:rsidR="00247FE7" w:rsidRPr="00B47908">
        <w:rPr>
          <w:rFonts w:cs="Arial"/>
          <w:sz w:val="37"/>
          <w:szCs w:val="37"/>
          <w:u w:val="single"/>
          <w:rtl/>
          <w:lang w:bidi="he-IL"/>
        </w:rPr>
        <w:t>כבישה צריך לשער נגד כולו</w:t>
      </w:r>
    </w:p>
    <w:p w:rsidR="001101DD" w:rsidRPr="00B47908" w:rsidRDefault="00F953DA" w:rsidP="00F953DA">
      <w:pPr>
        <w:rPr>
          <w:rFonts w:cs="Arial"/>
          <w:sz w:val="37"/>
          <w:szCs w:val="37"/>
          <w:lang w:bidi="he-IL"/>
        </w:rPr>
      </w:pPr>
      <w:r w:rsidRPr="00B47908">
        <w:rPr>
          <w:b/>
          <w:bCs/>
          <w:sz w:val="37"/>
          <w:szCs w:val="37"/>
          <w:u w:val="single"/>
          <w:lang w:bidi="he-IL"/>
        </w:rPr>
        <w:t>(18)</w:t>
      </w:r>
      <w:r w:rsidR="001101DD" w:rsidRPr="00B47908">
        <w:rPr>
          <w:sz w:val="37"/>
          <w:szCs w:val="37"/>
        </w:rPr>
        <w:t xml:space="preserve"> </w:t>
      </w:r>
      <w:r w:rsidR="001101DD" w:rsidRPr="00B47908">
        <w:rPr>
          <w:b/>
          <w:bCs/>
          <w:sz w:val="37"/>
          <w:szCs w:val="37"/>
          <w:u w:val="single"/>
        </w:rPr>
        <w:t>Pri Migadim</w:t>
      </w:r>
      <w:r w:rsidR="001101DD" w:rsidRPr="00B47908">
        <w:rPr>
          <w:sz w:val="37"/>
          <w:szCs w:val="37"/>
        </w:rPr>
        <w:t xml:space="preserve"> (ad loc.) and the </w:t>
      </w:r>
      <w:r w:rsidR="001101DD" w:rsidRPr="00B47908">
        <w:rPr>
          <w:b/>
          <w:bCs/>
          <w:sz w:val="37"/>
          <w:szCs w:val="37"/>
          <w:u w:val="single"/>
        </w:rPr>
        <w:t>Chochmas Adam</w:t>
      </w:r>
      <w:r w:rsidR="001101DD" w:rsidRPr="00B47908">
        <w:rPr>
          <w:sz w:val="37"/>
          <w:szCs w:val="37"/>
        </w:rPr>
        <w:t xml:space="preserve"> (57:11) both follow the opinion of the Shach that the full thickness of the wall is considered to contain forbidden blios, and </w:t>
      </w:r>
      <w:r w:rsidR="001101DD" w:rsidRPr="00B47908">
        <w:rPr>
          <w:b/>
          <w:bCs/>
          <w:sz w:val="37"/>
          <w:szCs w:val="37"/>
          <w:u w:val="single"/>
        </w:rPr>
        <w:t>this is the accepted ruling</w:t>
      </w:r>
      <w:r w:rsidR="001101DD" w:rsidRPr="00B47908">
        <w:rPr>
          <w:rFonts w:hint="cs"/>
          <w:sz w:val="37"/>
          <w:szCs w:val="37"/>
          <w:rtl/>
          <w:lang w:bidi="he-IL"/>
        </w:rPr>
        <w:t>.</w:t>
      </w:r>
    </w:p>
    <w:p w:rsidR="008467E9" w:rsidRPr="00B47908" w:rsidRDefault="00F953DA" w:rsidP="00987045">
      <w:pPr>
        <w:rPr>
          <w:sz w:val="37"/>
          <w:szCs w:val="37"/>
        </w:rPr>
      </w:pPr>
      <w:r w:rsidRPr="00B47908">
        <w:rPr>
          <w:b/>
          <w:bCs/>
          <w:sz w:val="37"/>
          <w:szCs w:val="37"/>
          <w:u w:val="single"/>
        </w:rPr>
        <w:t>(19)</w:t>
      </w:r>
      <w:r w:rsidR="008467E9" w:rsidRPr="00B47908">
        <w:rPr>
          <w:b/>
          <w:bCs/>
          <w:sz w:val="37"/>
          <w:szCs w:val="37"/>
          <w:u w:val="single"/>
        </w:rPr>
        <w:t>https://oukosher.org/content/uploads/2014/03/daf-hakashrus-purim74.pdf</w:t>
      </w:r>
      <w:r w:rsidR="008467E9" w:rsidRPr="00B47908">
        <w:rPr>
          <w:sz w:val="37"/>
          <w:szCs w:val="37"/>
        </w:rPr>
        <w:t xml:space="preserve"> -The OU does not permit “sherry cask” whiskeys to be served by their caterers or at their restaurants. However, unflavored whiskey that is not labeled sherry cask and there is no reason to assume it was kavush in a sherry cask is permitted.</w:t>
      </w:r>
    </w:p>
    <w:p w:rsidR="009147CC" w:rsidRPr="00B47908" w:rsidRDefault="00F953DA" w:rsidP="00987045">
      <w:pPr>
        <w:rPr>
          <w:sz w:val="37"/>
          <w:szCs w:val="37"/>
          <w:lang w:bidi="he-IL"/>
        </w:rPr>
      </w:pPr>
      <w:r w:rsidRPr="00B47908">
        <w:rPr>
          <w:b/>
          <w:bCs/>
          <w:sz w:val="37"/>
          <w:szCs w:val="37"/>
          <w:u w:val="single"/>
        </w:rPr>
        <w:lastRenderedPageBreak/>
        <w:t>(20)</w:t>
      </w:r>
      <w:r w:rsidR="008467E9" w:rsidRPr="00B47908">
        <w:rPr>
          <w:b/>
          <w:bCs/>
          <w:sz w:val="37"/>
          <w:szCs w:val="37"/>
          <w:u w:val="single"/>
        </w:rPr>
        <w:t>The cRc policy</w:t>
      </w:r>
      <w:r w:rsidR="008467E9" w:rsidRPr="00B47908">
        <w:rPr>
          <w:sz w:val="37"/>
          <w:szCs w:val="37"/>
        </w:rPr>
        <w:t xml:space="preserve"> -is that Scotch is permitted unless the label states that it is aged in a wine cask, has a special finish, or an extra maturation. Consumers who wish to adopt this stance should read the label of each bottle before using it, and </w:t>
      </w:r>
      <w:r w:rsidR="008467E9" w:rsidRPr="00B47908">
        <w:rPr>
          <w:sz w:val="37"/>
          <w:szCs w:val="37"/>
          <w:u w:val="single"/>
        </w:rPr>
        <w:t>avoid wording such as double or triple finish, double or triple matured, dual casks or finish, European or French casks, Madeira finish, port, sauterne, or sherry</w:t>
      </w:r>
      <w:r w:rsidR="008467E9" w:rsidRPr="00B47908">
        <w:rPr>
          <w:sz w:val="37"/>
          <w:szCs w:val="37"/>
        </w:rPr>
        <w:t xml:space="preserve">. The </w:t>
      </w:r>
      <w:r w:rsidR="008467E9" w:rsidRPr="00B47908">
        <w:rPr>
          <w:sz w:val="37"/>
          <w:szCs w:val="37"/>
          <w:u w:val="single"/>
        </w:rPr>
        <w:t>cRc listings of recommended Scotches follows a stricter standard</w:t>
      </w:r>
      <w:r w:rsidR="008467E9" w:rsidRPr="00B47908">
        <w:rPr>
          <w:sz w:val="37"/>
          <w:szCs w:val="37"/>
        </w:rPr>
        <w:t xml:space="preserve"> than the one listed above, and only includes Scotches that are certified and/or are </w:t>
      </w:r>
      <w:r w:rsidR="008467E9" w:rsidRPr="00B47908">
        <w:rPr>
          <w:sz w:val="37"/>
          <w:szCs w:val="37"/>
          <w:u w:val="single"/>
        </w:rPr>
        <w:t>known to not have any contact with wine or wine casks.</w:t>
      </w:r>
    </w:p>
    <w:p w:rsidR="008E0707" w:rsidRPr="00B47908" w:rsidRDefault="00F953DA" w:rsidP="004778AD">
      <w:pPr>
        <w:rPr>
          <w:sz w:val="37"/>
          <w:szCs w:val="37"/>
        </w:rPr>
      </w:pPr>
      <w:r w:rsidRPr="00B47908">
        <w:rPr>
          <w:b/>
          <w:bCs/>
          <w:sz w:val="37"/>
          <w:szCs w:val="37"/>
          <w:u w:val="single"/>
        </w:rPr>
        <w:t>(21)</w:t>
      </w:r>
      <w:r w:rsidR="00696416" w:rsidRPr="00B47908">
        <w:rPr>
          <w:rFonts w:hint="cs"/>
          <w:b/>
          <w:bCs/>
          <w:sz w:val="37"/>
          <w:szCs w:val="37"/>
          <w:u w:val="single"/>
        </w:rPr>
        <w:t>B</w:t>
      </w:r>
      <w:r w:rsidR="00696416" w:rsidRPr="00B47908">
        <w:rPr>
          <w:b/>
          <w:bCs/>
          <w:sz w:val="37"/>
          <w:szCs w:val="37"/>
          <w:u w:val="single"/>
        </w:rPr>
        <w:t>lended Scotch whisky</w:t>
      </w:r>
      <w:r w:rsidR="00B47908" w:rsidRPr="00B47908">
        <w:rPr>
          <w:sz w:val="37"/>
          <w:szCs w:val="37"/>
        </w:rPr>
        <w:t>- may</w:t>
      </w:r>
      <w:r w:rsidR="00696416" w:rsidRPr="00B47908">
        <w:rPr>
          <w:sz w:val="37"/>
          <w:szCs w:val="37"/>
        </w:rPr>
        <w:t xml:space="preserve"> contain a combination of whiskies from over 40 or 50 different malt and grain distilleries As such, even if whisky from Sherry casks were blended in, it is likely to be only a small amount of the entire blend lending itself to bitul.</w:t>
      </w:r>
    </w:p>
    <w:p w:rsidR="00B47908" w:rsidRDefault="00F953DA" w:rsidP="00B47908">
      <w:pPr>
        <w:rPr>
          <w:sz w:val="37"/>
          <w:szCs w:val="37"/>
        </w:rPr>
      </w:pPr>
      <w:r w:rsidRPr="00B47908">
        <w:rPr>
          <w:b/>
          <w:bCs/>
          <w:sz w:val="37"/>
          <w:szCs w:val="37"/>
          <w:u w:val="single"/>
        </w:rPr>
        <w:t>(22)</w:t>
      </w:r>
      <w:r w:rsidR="001401F8" w:rsidRPr="00B47908">
        <w:rPr>
          <w:b/>
          <w:bCs/>
          <w:sz w:val="37"/>
          <w:szCs w:val="37"/>
          <w:u w:val="single"/>
        </w:rPr>
        <w:t>C</w:t>
      </w:r>
      <w:r w:rsidR="00987045" w:rsidRPr="00B47908">
        <w:rPr>
          <w:b/>
          <w:bCs/>
          <w:sz w:val="37"/>
          <w:szCs w:val="37"/>
          <w:u w:val="single"/>
        </w:rPr>
        <w:t xml:space="preserve">hanan does not apply to </w:t>
      </w:r>
      <w:proofErr w:type="gramStart"/>
      <w:r w:rsidR="00987045" w:rsidRPr="00B47908">
        <w:rPr>
          <w:b/>
          <w:bCs/>
          <w:sz w:val="37"/>
          <w:szCs w:val="37"/>
          <w:u w:val="single"/>
        </w:rPr>
        <w:t>Rabbinical</w:t>
      </w:r>
      <w:proofErr w:type="gramEnd"/>
      <w:r w:rsidR="00987045" w:rsidRPr="00B47908">
        <w:rPr>
          <w:b/>
          <w:bCs/>
          <w:sz w:val="37"/>
          <w:szCs w:val="37"/>
          <w:u w:val="single"/>
        </w:rPr>
        <w:t xml:space="preserve"> prohibitions</w:t>
      </w:r>
      <w:r w:rsidR="00987045" w:rsidRPr="00B47908">
        <w:rPr>
          <w:sz w:val="37"/>
          <w:szCs w:val="37"/>
        </w:rPr>
        <w:t xml:space="preserve"> </w:t>
      </w:r>
      <w:r w:rsidR="00987045" w:rsidRPr="00B47908">
        <w:rPr>
          <w:sz w:val="37"/>
          <w:szCs w:val="37"/>
        </w:rPr>
        <w:t>-</w:t>
      </w:r>
      <w:r w:rsidR="00987045" w:rsidRPr="00B47908">
        <w:rPr>
          <w:sz w:val="37"/>
          <w:szCs w:val="37"/>
        </w:rPr>
        <w:t xml:space="preserve">Pri Chodosh 92:17 based on </w:t>
      </w:r>
      <w:r w:rsidR="00987045" w:rsidRPr="00B47908">
        <w:rPr>
          <w:b/>
          <w:bCs/>
          <w:sz w:val="37"/>
          <w:szCs w:val="37"/>
          <w:u w:val="single"/>
        </w:rPr>
        <w:t>Ran</w:t>
      </w:r>
      <w:r w:rsidR="00987045" w:rsidRPr="00B47908">
        <w:rPr>
          <w:sz w:val="37"/>
          <w:szCs w:val="37"/>
          <w:u w:val="single"/>
        </w:rPr>
        <w:t>,</w:t>
      </w:r>
      <w:r w:rsidR="00987045" w:rsidRPr="00B47908">
        <w:rPr>
          <w:sz w:val="37"/>
          <w:szCs w:val="37"/>
        </w:rPr>
        <w:t xml:space="preserve"> Chulin 44b; Aruch Hashulchan 92:25).</w:t>
      </w:r>
      <w:r w:rsidR="001401F8" w:rsidRPr="00B47908">
        <w:rPr>
          <w:sz w:val="37"/>
          <w:szCs w:val="37"/>
        </w:rPr>
        <w:t xml:space="preserve"> S</w:t>
      </w:r>
      <w:r w:rsidR="001401F8" w:rsidRPr="00B47908">
        <w:rPr>
          <w:sz w:val="37"/>
          <w:szCs w:val="37"/>
        </w:rPr>
        <w:t>ome Poskim allow one to follow the lenient opinion with regards to prohibitions other than basar b’chalav (K’sav Sofer siman 52; see also Chochmas Adam 44:13, and Tzvi L’Tzaddik, gloss to Taz 92:11).</w:t>
      </w:r>
      <w:r w:rsidR="001401F8" w:rsidRPr="00B47908">
        <w:rPr>
          <w:sz w:val="37"/>
          <w:szCs w:val="37"/>
        </w:rPr>
        <w:t xml:space="preserve"> </w:t>
      </w:r>
      <w:bookmarkStart w:id="0" w:name="_GoBack"/>
      <w:bookmarkEnd w:id="0"/>
    </w:p>
    <w:p w:rsidR="00B47908" w:rsidRDefault="001401F8" w:rsidP="00B47908">
      <w:pPr>
        <w:rPr>
          <w:sz w:val="37"/>
          <w:szCs w:val="37"/>
        </w:rPr>
      </w:pPr>
      <w:r w:rsidRPr="00B47908">
        <w:rPr>
          <w:b/>
          <w:bCs/>
          <w:sz w:val="37"/>
          <w:szCs w:val="37"/>
          <w:u w:val="single"/>
        </w:rPr>
        <w:t>Rama</w:t>
      </w:r>
      <w:r w:rsidRPr="00B47908">
        <w:rPr>
          <w:sz w:val="37"/>
          <w:szCs w:val="37"/>
        </w:rPr>
        <w:t xml:space="preserve"> (92:4) rules that chanan does not apply when dealing with a</w:t>
      </w:r>
      <w:r w:rsidRPr="00B47908">
        <w:rPr>
          <w:b/>
          <w:bCs/>
          <w:sz w:val="37"/>
          <w:szCs w:val="37"/>
          <w:u w:val="single"/>
        </w:rPr>
        <w:t xml:space="preserve"> liquid mixture</w:t>
      </w:r>
      <w:r w:rsidRPr="00B47908">
        <w:rPr>
          <w:sz w:val="37"/>
          <w:szCs w:val="37"/>
        </w:rPr>
        <w:t xml:space="preserve"> (involving prohibitions other than basar b’chalav) in situations of hefsed gadol</w:t>
      </w:r>
      <w:r w:rsidRPr="00B47908">
        <w:rPr>
          <w:sz w:val="37"/>
          <w:szCs w:val="37"/>
        </w:rPr>
        <w:t>.</w:t>
      </w:r>
    </w:p>
    <w:p w:rsidR="00B47908" w:rsidRDefault="001401F8" w:rsidP="001401F8">
      <w:pPr>
        <w:rPr>
          <w:sz w:val="37"/>
          <w:szCs w:val="37"/>
          <w:u w:val="single"/>
        </w:rPr>
      </w:pPr>
      <w:r w:rsidRPr="00B47908">
        <w:rPr>
          <w:sz w:val="37"/>
          <w:szCs w:val="37"/>
        </w:rPr>
        <w:t xml:space="preserve"> </w:t>
      </w:r>
      <w:r w:rsidRPr="00B47908">
        <w:rPr>
          <w:b/>
          <w:bCs/>
          <w:sz w:val="37"/>
          <w:szCs w:val="37"/>
          <w:u w:val="single"/>
        </w:rPr>
        <w:t>Igros Moshe</w:t>
      </w:r>
      <w:r w:rsidRPr="00B47908">
        <w:rPr>
          <w:sz w:val="37"/>
          <w:szCs w:val="37"/>
        </w:rPr>
        <w:t xml:space="preserve"> (YD II siman 36) rules that when dealing with a </w:t>
      </w:r>
      <w:proofErr w:type="gramStart"/>
      <w:r w:rsidRPr="00B47908">
        <w:rPr>
          <w:sz w:val="37"/>
          <w:szCs w:val="37"/>
        </w:rPr>
        <w:t>Rabbinical</w:t>
      </w:r>
      <w:proofErr w:type="gramEnd"/>
      <w:r w:rsidRPr="00B47908">
        <w:rPr>
          <w:sz w:val="37"/>
          <w:szCs w:val="37"/>
        </w:rPr>
        <w:t xml:space="preserve"> prohibition, such as stam yeinam, one may be lenient </w:t>
      </w:r>
      <w:r w:rsidRPr="00B47908">
        <w:rPr>
          <w:sz w:val="37"/>
          <w:szCs w:val="37"/>
          <w:u w:val="single"/>
        </w:rPr>
        <w:t>even without a great loss.</w:t>
      </w:r>
      <w:r w:rsidR="00AA2B5C" w:rsidRPr="00B47908">
        <w:rPr>
          <w:sz w:val="37"/>
          <w:szCs w:val="37"/>
          <w:u w:val="single"/>
        </w:rPr>
        <w:t xml:space="preserve"> </w:t>
      </w:r>
    </w:p>
    <w:p w:rsidR="00987045" w:rsidRPr="00B47908" w:rsidRDefault="00AA2B5C" w:rsidP="001401F8">
      <w:pPr>
        <w:rPr>
          <w:sz w:val="37"/>
          <w:szCs w:val="37"/>
        </w:rPr>
      </w:pPr>
      <w:r w:rsidRPr="00B47908">
        <w:rPr>
          <w:b/>
          <w:bCs/>
          <w:sz w:val="37"/>
          <w:szCs w:val="37"/>
          <w:u w:val="single"/>
        </w:rPr>
        <w:t>Rashba</w:t>
      </w:r>
      <w:r w:rsidRPr="00B47908">
        <w:rPr>
          <w:sz w:val="37"/>
          <w:szCs w:val="37"/>
        </w:rPr>
        <w:t xml:space="preserve"> </w:t>
      </w:r>
      <w:r w:rsidRPr="00B47908">
        <w:rPr>
          <w:sz w:val="37"/>
          <w:szCs w:val="37"/>
        </w:rPr>
        <w:t xml:space="preserve">Toras Habayis 4:1, pg. 14, who is of the opinion that </w:t>
      </w:r>
      <w:r w:rsidRPr="00B47908">
        <w:rPr>
          <w:b/>
          <w:bCs/>
          <w:sz w:val="37"/>
          <w:szCs w:val="37"/>
          <w:u w:val="single"/>
        </w:rPr>
        <w:t>wine – which is batul b’sheish – is not subject to the limitations of chanan</w:t>
      </w:r>
      <w:r w:rsidR="00B47908" w:rsidRPr="00B47908">
        <w:rPr>
          <w:sz w:val="37"/>
          <w:szCs w:val="37"/>
        </w:rPr>
        <w:t>.</w:t>
      </w:r>
    </w:p>
    <w:p w:rsidR="00DB2C62" w:rsidRPr="009147CC" w:rsidRDefault="00DB2C62" w:rsidP="00DB2C62">
      <w:pPr>
        <w:jc w:val="right"/>
        <w:rPr>
          <w:rFonts w:hint="cs"/>
          <w:sz w:val="32"/>
          <w:szCs w:val="32"/>
          <w:rtl/>
          <w:lang w:bidi="he-IL"/>
        </w:rPr>
      </w:pPr>
    </w:p>
    <w:sectPr w:rsidR="00DB2C62" w:rsidRPr="009147CC" w:rsidSect="00887F2C">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AE0"/>
    <w:rsid w:val="001101DD"/>
    <w:rsid w:val="001401F8"/>
    <w:rsid w:val="001B3535"/>
    <w:rsid w:val="001B5C63"/>
    <w:rsid w:val="001F2865"/>
    <w:rsid w:val="00247FE7"/>
    <w:rsid w:val="00257ED4"/>
    <w:rsid w:val="00273A60"/>
    <w:rsid w:val="002A1813"/>
    <w:rsid w:val="00337765"/>
    <w:rsid w:val="00352AE0"/>
    <w:rsid w:val="00390B3A"/>
    <w:rsid w:val="0044468B"/>
    <w:rsid w:val="004778AD"/>
    <w:rsid w:val="00570736"/>
    <w:rsid w:val="005F5BC5"/>
    <w:rsid w:val="00625E0D"/>
    <w:rsid w:val="00696416"/>
    <w:rsid w:val="006A0377"/>
    <w:rsid w:val="007267A0"/>
    <w:rsid w:val="00783457"/>
    <w:rsid w:val="00791777"/>
    <w:rsid w:val="007C7EA3"/>
    <w:rsid w:val="008467E9"/>
    <w:rsid w:val="00887F2C"/>
    <w:rsid w:val="008A78AA"/>
    <w:rsid w:val="008E0707"/>
    <w:rsid w:val="009147CC"/>
    <w:rsid w:val="00920027"/>
    <w:rsid w:val="00987045"/>
    <w:rsid w:val="009D0EE2"/>
    <w:rsid w:val="00AA2B5C"/>
    <w:rsid w:val="00AF414E"/>
    <w:rsid w:val="00B104CC"/>
    <w:rsid w:val="00B47908"/>
    <w:rsid w:val="00D12350"/>
    <w:rsid w:val="00D134C5"/>
    <w:rsid w:val="00D5679B"/>
    <w:rsid w:val="00D77EE5"/>
    <w:rsid w:val="00DA5C8A"/>
    <w:rsid w:val="00DB2C62"/>
    <w:rsid w:val="00DF31CF"/>
    <w:rsid w:val="00DF6FE7"/>
    <w:rsid w:val="00F65A7C"/>
    <w:rsid w:val="00F953DA"/>
    <w:rsid w:val="00FF5B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E72E2-F9C8-4B30-B50A-B37EB353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78AD"/>
    <w:rPr>
      <w:color w:val="0000FF"/>
      <w:u w:val="single"/>
    </w:rPr>
  </w:style>
  <w:style w:type="paragraph" w:styleId="BalloonText">
    <w:name w:val="Balloon Text"/>
    <w:basedOn w:val="Normal"/>
    <w:link w:val="BalloonTextChar"/>
    <w:uiPriority w:val="99"/>
    <w:semiHidden/>
    <w:unhideWhenUsed/>
    <w:rsid w:val="00887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F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4</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sanders</dc:creator>
  <cp:keywords/>
  <dc:description/>
  <cp:lastModifiedBy>paul sanders</cp:lastModifiedBy>
  <cp:revision>25</cp:revision>
  <cp:lastPrinted>2019-12-30T18:07:00Z</cp:lastPrinted>
  <dcterms:created xsi:type="dcterms:W3CDTF">2019-12-30T11:14:00Z</dcterms:created>
  <dcterms:modified xsi:type="dcterms:W3CDTF">2019-12-30T18:07:00Z</dcterms:modified>
</cp:coreProperties>
</file>