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63A3D" w14:textId="0FF30518" w:rsidR="00694F31" w:rsidRPr="0078178F" w:rsidRDefault="00694F31" w:rsidP="00694F31">
      <w:pPr>
        <w:spacing w:after="0" w:line="240" w:lineRule="auto"/>
        <w:contextualSpacing/>
        <w:jc w:val="center"/>
        <w:rPr>
          <w:rFonts w:asciiTheme="minorBidi" w:hAnsiTheme="minorBidi"/>
          <w:b/>
          <w:bCs/>
          <w:sz w:val="28"/>
          <w:szCs w:val="28"/>
        </w:rPr>
      </w:pPr>
      <w:r>
        <w:rPr>
          <w:rFonts w:asciiTheme="minorBidi" w:hAnsiTheme="minorBidi"/>
          <w:b/>
          <w:bCs/>
          <w:sz w:val="28"/>
          <w:szCs w:val="28"/>
        </w:rPr>
        <w:t>SHIELDS</w:t>
      </w:r>
    </w:p>
    <w:p w14:paraId="6004F253" w14:textId="77777777" w:rsidR="00694F31" w:rsidRDefault="00694F31" w:rsidP="00694F31">
      <w:pPr>
        <w:spacing w:after="0" w:line="240" w:lineRule="auto"/>
        <w:contextualSpacing/>
        <w:jc w:val="center"/>
        <w:rPr>
          <w:rFonts w:asciiTheme="minorBidi" w:hAnsiTheme="minorBidi"/>
          <w:sz w:val="24"/>
          <w:szCs w:val="24"/>
          <w:rtl/>
        </w:rPr>
      </w:pPr>
      <w:r w:rsidRPr="0078178F">
        <w:rPr>
          <w:rFonts w:asciiTheme="minorBidi" w:hAnsiTheme="minorBidi"/>
          <w:sz w:val="24"/>
          <w:szCs w:val="24"/>
        </w:rPr>
        <w:t xml:space="preserve">Sponsored by Jake and </w:t>
      </w:r>
      <w:r w:rsidRPr="004C0717">
        <w:rPr>
          <w:rFonts w:asciiTheme="minorBidi" w:hAnsiTheme="minorBidi"/>
          <w:sz w:val="24"/>
          <w:szCs w:val="24"/>
        </w:rPr>
        <w:t>Karen</w:t>
      </w:r>
      <w:r w:rsidRPr="0078178F">
        <w:rPr>
          <w:rFonts w:asciiTheme="minorBidi" w:hAnsiTheme="minorBidi"/>
          <w:sz w:val="24"/>
          <w:szCs w:val="24"/>
        </w:rPr>
        <w:t xml:space="preserve"> </w:t>
      </w:r>
      <w:proofErr w:type="spellStart"/>
      <w:r w:rsidRPr="0078178F">
        <w:rPr>
          <w:rFonts w:asciiTheme="minorBidi" w:hAnsiTheme="minorBidi"/>
          <w:sz w:val="24"/>
          <w:szCs w:val="24"/>
        </w:rPr>
        <w:t>Abilevitz</w:t>
      </w:r>
      <w:proofErr w:type="spellEnd"/>
      <w:r w:rsidRPr="0078178F">
        <w:rPr>
          <w:rFonts w:asciiTheme="minorBidi" w:hAnsiTheme="minorBidi"/>
          <w:sz w:val="24"/>
          <w:szCs w:val="24"/>
        </w:rPr>
        <w:t xml:space="preserve"> in memory of Jake’s Beloved Parents</w:t>
      </w:r>
    </w:p>
    <w:p w14:paraId="38D154E3" w14:textId="77777777" w:rsidR="00694F31" w:rsidRPr="0078178F" w:rsidRDefault="00694F31" w:rsidP="00694F31">
      <w:pPr>
        <w:spacing w:after="0" w:line="240" w:lineRule="auto"/>
        <w:contextualSpacing/>
        <w:jc w:val="center"/>
        <w:rPr>
          <w:rFonts w:asciiTheme="minorBidi" w:hAnsiTheme="minorBidi"/>
          <w:sz w:val="24"/>
          <w:szCs w:val="24"/>
        </w:rPr>
      </w:pPr>
      <w:r w:rsidRPr="0078178F">
        <w:rPr>
          <w:rFonts w:asciiTheme="minorBidi" w:hAnsiTheme="minorBidi"/>
          <w:sz w:val="24"/>
          <w:szCs w:val="24"/>
        </w:rPr>
        <w:t xml:space="preserve"> </w:t>
      </w:r>
      <w:r w:rsidRPr="0078178F">
        <w:rPr>
          <w:rFonts w:asciiTheme="minorBidi" w:hAnsiTheme="minorBidi"/>
          <w:sz w:val="24"/>
          <w:szCs w:val="24"/>
          <w:rtl/>
        </w:rPr>
        <w:t>אליהו בן אבא ז"ל &amp; לאה בת אברהם ז"ל</w:t>
      </w:r>
      <w:r w:rsidRPr="0078178F">
        <w:rPr>
          <w:rFonts w:asciiTheme="minorBidi" w:hAnsiTheme="minorBidi"/>
          <w:sz w:val="24"/>
          <w:szCs w:val="24"/>
        </w:rPr>
        <w:t xml:space="preserve"> and Karen’s brother  </w:t>
      </w:r>
      <w:r w:rsidRPr="0078178F">
        <w:rPr>
          <w:rFonts w:asciiTheme="minorBidi" w:hAnsiTheme="minorBidi"/>
          <w:sz w:val="24"/>
          <w:szCs w:val="24"/>
          <w:rtl/>
        </w:rPr>
        <w:t>יהושע בן שמעון דב ז"ל</w:t>
      </w:r>
    </w:p>
    <w:p w14:paraId="51B2502C" w14:textId="77777777" w:rsidR="00694F31" w:rsidRPr="001F4E78" w:rsidRDefault="00694F31" w:rsidP="00694F31">
      <w:pPr>
        <w:spacing w:after="0" w:line="240" w:lineRule="auto"/>
        <w:contextualSpacing/>
        <w:jc w:val="center"/>
        <w:rPr>
          <w:rFonts w:asciiTheme="minorBidi" w:hAnsiTheme="minorBidi"/>
          <w:sz w:val="10"/>
          <w:szCs w:val="10"/>
        </w:rPr>
      </w:pPr>
    </w:p>
    <w:p w14:paraId="40BA7B4E" w14:textId="05E7A2ED" w:rsidR="00694F31" w:rsidRPr="001F4E78" w:rsidRDefault="00694F31" w:rsidP="00694F31">
      <w:pPr>
        <w:spacing w:after="0" w:line="240" w:lineRule="auto"/>
        <w:contextualSpacing/>
        <w:jc w:val="center"/>
        <w:rPr>
          <w:rFonts w:asciiTheme="minorBidi" w:hAnsiTheme="minorBidi"/>
          <w:b/>
          <w:bCs/>
          <w:sz w:val="24"/>
          <w:szCs w:val="24"/>
          <w:u w:val="single"/>
        </w:rPr>
      </w:pPr>
      <w:r w:rsidRPr="001F4E78">
        <w:rPr>
          <w:rFonts w:asciiTheme="minorBidi" w:hAnsiTheme="minorBidi"/>
          <w:b/>
          <w:bCs/>
          <w:sz w:val="24"/>
          <w:szCs w:val="24"/>
          <w:u w:val="single"/>
          <w:rtl/>
        </w:rPr>
        <w:t>1</w:t>
      </w:r>
      <w:r w:rsidRPr="001F4E78">
        <w:rPr>
          <w:rFonts w:asciiTheme="minorBidi" w:hAnsiTheme="minorBidi"/>
          <w:b/>
          <w:bCs/>
          <w:sz w:val="24"/>
          <w:szCs w:val="24"/>
          <w:u w:val="single"/>
        </w:rPr>
        <w:t xml:space="preserve">) </w:t>
      </w:r>
      <w:proofErr w:type="spellStart"/>
      <w:r w:rsidRPr="001F4E78">
        <w:rPr>
          <w:rFonts w:asciiTheme="minorBidi" w:hAnsiTheme="minorBidi"/>
          <w:b/>
          <w:bCs/>
          <w:sz w:val="24"/>
          <w:szCs w:val="24"/>
          <w:u w:val="single"/>
        </w:rPr>
        <w:t>Avos</w:t>
      </w:r>
      <w:proofErr w:type="spellEnd"/>
      <w:r w:rsidRPr="001F4E78">
        <w:rPr>
          <w:rFonts w:asciiTheme="minorBidi" w:hAnsiTheme="minorBidi"/>
          <w:b/>
          <w:bCs/>
          <w:sz w:val="24"/>
          <w:szCs w:val="24"/>
          <w:u w:val="single"/>
        </w:rPr>
        <w:t xml:space="preserve">, Chapter </w:t>
      </w:r>
      <w:r>
        <w:rPr>
          <w:rFonts w:asciiTheme="minorBidi" w:hAnsiTheme="minorBidi" w:hint="cs"/>
          <w:b/>
          <w:bCs/>
          <w:sz w:val="24"/>
          <w:szCs w:val="24"/>
          <w:u w:val="single"/>
          <w:rtl/>
        </w:rPr>
        <w:t>4</w:t>
      </w:r>
      <w:r>
        <w:rPr>
          <w:rFonts w:asciiTheme="minorBidi" w:hAnsiTheme="minorBidi"/>
          <w:b/>
          <w:bCs/>
          <w:sz w:val="24"/>
          <w:szCs w:val="24"/>
          <w:u w:val="single"/>
        </w:rPr>
        <w:t>:1</w:t>
      </w:r>
      <w:r>
        <w:rPr>
          <w:rFonts w:asciiTheme="minorBidi" w:hAnsiTheme="minorBidi" w:hint="cs"/>
          <w:b/>
          <w:bCs/>
          <w:sz w:val="24"/>
          <w:szCs w:val="24"/>
          <w:u w:val="single"/>
          <w:rtl/>
        </w:rPr>
        <w:t>1</w:t>
      </w:r>
    </w:p>
    <w:tbl>
      <w:tblPr>
        <w:tblStyle w:val="TableGrid"/>
        <w:tblW w:w="11065" w:type="dxa"/>
        <w:tblLook w:val="04A0" w:firstRow="1" w:lastRow="0" w:firstColumn="1" w:lastColumn="0" w:noHBand="0" w:noVBand="1"/>
      </w:tblPr>
      <w:tblGrid>
        <w:gridCol w:w="6925"/>
        <w:gridCol w:w="4140"/>
      </w:tblGrid>
      <w:tr w:rsidR="00694F31" w:rsidRPr="001F4E78" w14:paraId="10CB3441" w14:textId="77777777" w:rsidTr="00AF1A38">
        <w:tc>
          <w:tcPr>
            <w:tcW w:w="6925" w:type="dxa"/>
          </w:tcPr>
          <w:p w14:paraId="4D193893" w14:textId="77777777" w:rsidR="00694F31" w:rsidRDefault="00694F31" w:rsidP="00694F3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E560DD">
              <w:rPr>
                <w:rFonts w:ascii="Times New Roman" w:eastAsia="Times New Roman" w:hAnsi="Times New Roman" w:cs="Times New Roman"/>
                <w:sz w:val="24"/>
                <w:szCs w:val="24"/>
                <w:lang w:val="en"/>
              </w:rPr>
              <w:t xml:space="preserve">Rabbi Eliezer son of Yaakov says: </w:t>
            </w:r>
          </w:p>
          <w:p w14:paraId="5B9C460E" w14:textId="77777777" w:rsidR="00694F31" w:rsidRDefault="00694F31" w:rsidP="00694F31">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6F09D3">
              <w:rPr>
                <w:rFonts w:ascii="Times New Roman" w:eastAsia="Times New Roman" w:hAnsi="Times New Roman" w:cs="Times New Roman"/>
                <w:sz w:val="24"/>
                <w:szCs w:val="24"/>
                <w:lang w:val="en"/>
              </w:rPr>
              <w:t xml:space="preserve">One who does a single good deed acquires a single defender. </w:t>
            </w:r>
          </w:p>
          <w:p w14:paraId="15385B15" w14:textId="77777777" w:rsidR="00694F31" w:rsidRDefault="00694F31" w:rsidP="00694F31">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lang w:val="en"/>
              </w:rPr>
            </w:pPr>
            <w:r w:rsidRPr="006F09D3">
              <w:rPr>
                <w:rFonts w:ascii="Times New Roman" w:eastAsia="Times New Roman" w:hAnsi="Times New Roman" w:cs="Times New Roman"/>
                <w:sz w:val="24"/>
                <w:szCs w:val="24"/>
                <w:lang w:val="en"/>
              </w:rPr>
              <w:t xml:space="preserve">One who does a single sin acquires a single prosecutor. </w:t>
            </w:r>
          </w:p>
          <w:p w14:paraId="2E0AFFDC" w14:textId="77777777" w:rsidR="00694F31" w:rsidRPr="00B75E84" w:rsidRDefault="00694F31" w:rsidP="00694F31">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tl/>
                <w:lang w:val="en"/>
              </w:rPr>
            </w:pPr>
            <w:r w:rsidRPr="006F09D3">
              <w:rPr>
                <w:rFonts w:ascii="Times New Roman" w:eastAsia="Times New Roman" w:hAnsi="Times New Roman" w:cs="Times New Roman"/>
                <w:sz w:val="24"/>
                <w:szCs w:val="24"/>
                <w:lang w:val="en"/>
              </w:rPr>
              <w:t>Repentance and good deeds are a shield against punishment.</w:t>
            </w:r>
          </w:p>
        </w:tc>
        <w:tc>
          <w:tcPr>
            <w:tcW w:w="4140" w:type="dxa"/>
          </w:tcPr>
          <w:p w14:paraId="77065C7B" w14:textId="77777777" w:rsidR="00694F31" w:rsidRDefault="00694F31" w:rsidP="00694F31">
            <w:pPr>
              <w:pStyle w:val="ListParagraph"/>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6F09D3">
              <w:rPr>
                <w:rFonts w:ascii="Times New Roman" w:eastAsia="Times New Roman" w:hAnsi="Times New Roman" w:cs="Times New Roman" w:hint="cs"/>
                <w:sz w:val="24"/>
                <w:szCs w:val="24"/>
                <w:rtl/>
              </w:rPr>
              <w:t>רַבִּי אֱלִיעֶזֶר בֶּן יַעֲקֹב אוֹמֵר</w:t>
            </w:r>
          </w:p>
          <w:p w14:paraId="4A16D86A" w14:textId="77777777" w:rsidR="00694F31" w:rsidRDefault="00694F31" w:rsidP="00694F31">
            <w:pPr>
              <w:pStyle w:val="ListParagraph"/>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6F09D3">
              <w:rPr>
                <w:rFonts w:ascii="Times New Roman" w:eastAsia="Times New Roman" w:hAnsi="Times New Roman" w:cs="Times New Roman" w:hint="cs"/>
                <w:sz w:val="24"/>
                <w:szCs w:val="24"/>
                <w:rtl/>
              </w:rPr>
              <w:t xml:space="preserve"> הָעוֹשֶׂה מִצְוָה אַחַת, קוֹנֶה לוֹ פְרַקְלִיט אֶחָד.</w:t>
            </w:r>
          </w:p>
          <w:p w14:paraId="69792C8D" w14:textId="77777777" w:rsidR="00694F31" w:rsidRDefault="00694F31" w:rsidP="00694F31">
            <w:pPr>
              <w:pStyle w:val="ListParagraph"/>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6F09D3">
              <w:rPr>
                <w:rFonts w:ascii="Times New Roman" w:eastAsia="Times New Roman" w:hAnsi="Times New Roman" w:cs="Times New Roman" w:hint="cs"/>
                <w:sz w:val="24"/>
                <w:szCs w:val="24"/>
                <w:rtl/>
              </w:rPr>
              <w:t xml:space="preserve"> וְהָעוֹבֵר עֲבֵרָה אַחַת, קוֹנֶה לוֹ קַטֵּגוֹר אֶחָד. </w:t>
            </w:r>
          </w:p>
          <w:p w14:paraId="68AF1974" w14:textId="77777777" w:rsidR="00694F31" w:rsidRDefault="00694F31" w:rsidP="00694F31">
            <w:pPr>
              <w:pStyle w:val="ListParagraph"/>
              <w:numPr>
                <w:ilvl w:val="1"/>
                <w:numId w:val="1"/>
              </w:numPr>
              <w:bidi/>
              <w:spacing w:before="100" w:beforeAutospacing="1" w:after="100" w:afterAutospacing="1" w:line="240" w:lineRule="auto"/>
              <w:rPr>
                <w:rFonts w:ascii="Times New Roman" w:eastAsia="Times New Roman" w:hAnsi="Times New Roman" w:cs="Times New Roman"/>
                <w:sz w:val="24"/>
                <w:szCs w:val="24"/>
              </w:rPr>
            </w:pPr>
            <w:r w:rsidRPr="006F09D3">
              <w:rPr>
                <w:rFonts w:ascii="Times New Roman" w:eastAsia="Times New Roman" w:hAnsi="Times New Roman" w:cs="Times New Roman" w:hint="cs"/>
                <w:sz w:val="24"/>
                <w:szCs w:val="24"/>
                <w:rtl/>
              </w:rPr>
              <w:t>תְּשׁוּבָה וּמַעֲשִׂים טוֹבִים, כִּתְרִיס בִּפְנֵי הַפֻּרְעָנוּת.</w:t>
            </w:r>
          </w:p>
          <w:p w14:paraId="20705720" w14:textId="77777777" w:rsidR="00694F31" w:rsidRPr="0030431D" w:rsidRDefault="00694F31" w:rsidP="00694F31">
            <w:pPr>
              <w:pStyle w:val="ListParagraph"/>
              <w:numPr>
                <w:ilvl w:val="1"/>
                <w:numId w:val="1"/>
              </w:numPr>
              <w:bidi/>
              <w:spacing w:before="100" w:beforeAutospacing="1" w:after="100" w:afterAutospacing="1" w:line="240" w:lineRule="auto"/>
              <w:rPr>
                <w:sz w:val="2"/>
                <w:szCs w:val="2"/>
              </w:rPr>
            </w:pPr>
          </w:p>
        </w:tc>
      </w:tr>
    </w:tbl>
    <w:p w14:paraId="5EA05BFB" w14:textId="77777777" w:rsidR="00694F31" w:rsidRPr="00694F31" w:rsidRDefault="00694F31" w:rsidP="00694F31">
      <w:pPr>
        <w:spacing w:after="0" w:line="240" w:lineRule="auto"/>
        <w:contextualSpacing/>
        <w:jc w:val="center"/>
        <w:rPr>
          <w:rFonts w:cs="Arial"/>
          <w:b/>
          <w:bCs/>
          <w:sz w:val="18"/>
          <w:szCs w:val="18"/>
          <w:u w:val="single"/>
          <w:rtl/>
        </w:rPr>
      </w:pPr>
    </w:p>
    <w:p w14:paraId="572AAFB4" w14:textId="390C3233" w:rsidR="00694F31" w:rsidRPr="004C0717" w:rsidRDefault="00694F31" w:rsidP="00694F31">
      <w:pPr>
        <w:spacing w:after="0" w:line="240" w:lineRule="auto"/>
        <w:contextualSpacing/>
        <w:jc w:val="right"/>
        <w:rPr>
          <w:rFonts w:cs="Arial"/>
          <w:b/>
          <w:bCs/>
          <w:u w:val="single"/>
        </w:rPr>
      </w:pPr>
      <w:r>
        <w:rPr>
          <w:rFonts w:cs="Arial" w:hint="cs"/>
          <w:b/>
          <w:bCs/>
          <w:u w:val="single"/>
          <w:rtl/>
        </w:rPr>
        <w:t>2</w:t>
      </w:r>
      <w:r>
        <w:rPr>
          <w:rFonts w:cs="Arial" w:hint="cs"/>
          <w:b/>
          <w:bCs/>
          <w:u w:val="single"/>
          <w:rtl/>
        </w:rPr>
        <w:t xml:space="preserve">) </w:t>
      </w:r>
      <w:r w:rsidRPr="004C0717">
        <w:rPr>
          <w:rFonts w:cs="Arial"/>
          <w:b/>
          <w:bCs/>
          <w:u w:val="single"/>
          <w:rtl/>
        </w:rPr>
        <w:t>פירוש המשנה לרמב"ם מסכת אבות פרק ד</w:t>
      </w:r>
    </w:p>
    <w:p w14:paraId="1BA36D6D" w14:textId="77777777" w:rsidR="00694F31" w:rsidRPr="00694F31" w:rsidRDefault="00694F31" w:rsidP="00694F31">
      <w:pPr>
        <w:spacing w:after="0" w:line="240" w:lineRule="auto"/>
        <w:contextualSpacing/>
        <w:jc w:val="right"/>
        <w:rPr>
          <w:rFonts w:cs="Arial"/>
          <w:sz w:val="21"/>
          <w:szCs w:val="21"/>
        </w:rPr>
      </w:pPr>
      <w:r w:rsidRPr="00694F31">
        <w:rPr>
          <w:rFonts w:cs="Arial"/>
          <w:sz w:val="21"/>
          <w:szCs w:val="21"/>
          <w:rtl/>
        </w:rPr>
        <w:t>ואמר, כי התשובה אחרי מעשים רעים, או מעשים טובים מלכתחילה, כל אחד משני מצבים אלה מונע חול הפורענויות והפגעים על האדם</w:t>
      </w:r>
      <w:r w:rsidRPr="00694F31">
        <w:rPr>
          <w:rFonts w:cs="Arial"/>
          <w:sz w:val="21"/>
          <w:szCs w:val="21"/>
        </w:rPr>
        <w:t>.</w:t>
      </w:r>
    </w:p>
    <w:p w14:paraId="67A9AAB0" w14:textId="77777777" w:rsidR="00694F31" w:rsidRPr="00694F31" w:rsidRDefault="00694F31" w:rsidP="00694F31">
      <w:pPr>
        <w:spacing w:after="0" w:line="240" w:lineRule="auto"/>
        <w:contextualSpacing/>
        <w:jc w:val="right"/>
        <w:rPr>
          <w:rFonts w:cs="Arial"/>
          <w:sz w:val="12"/>
          <w:szCs w:val="12"/>
          <w:rtl/>
        </w:rPr>
      </w:pPr>
    </w:p>
    <w:p w14:paraId="730615B3" w14:textId="15DD8E67" w:rsidR="00694F31" w:rsidRPr="004C0717" w:rsidRDefault="00694F31" w:rsidP="00694F31">
      <w:pPr>
        <w:spacing w:after="0" w:line="240" w:lineRule="auto"/>
        <w:contextualSpacing/>
        <w:jc w:val="right"/>
        <w:rPr>
          <w:rFonts w:cs="Arial"/>
          <w:b/>
          <w:bCs/>
          <w:u w:val="single"/>
        </w:rPr>
      </w:pPr>
      <w:r>
        <w:rPr>
          <w:rFonts w:cs="Arial" w:hint="cs"/>
          <w:b/>
          <w:bCs/>
          <w:u w:val="single"/>
          <w:rtl/>
        </w:rPr>
        <w:t>3</w:t>
      </w:r>
      <w:r>
        <w:rPr>
          <w:rFonts w:cs="Arial" w:hint="cs"/>
          <w:b/>
          <w:bCs/>
          <w:u w:val="single"/>
          <w:rtl/>
        </w:rPr>
        <w:t xml:space="preserve">) </w:t>
      </w:r>
      <w:r w:rsidRPr="004C0717">
        <w:rPr>
          <w:rFonts w:cs="Arial"/>
          <w:b/>
          <w:bCs/>
          <w:u w:val="single"/>
          <w:rtl/>
        </w:rPr>
        <w:t>רבי מתתיה היצהרי על אבות פרק ד</w:t>
      </w:r>
    </w:p>
    <w:p w14:paraId="4B7B6638" w14:textId="77777777" w:rsidR="00694F31" w:rsidRDefault="00694F31" w:rsidP="00694F31">
      <w:pPr>
        <w:spacing w:after="0" w:line="240" w:lineRule="auto"/>
        <w:contextualSpacing/>
        <w:jc w:val="right"/>
        <w:rPr>
          <w:rFonts w:cs="Arial"/>
          <w:rtl/>
        </w:rPr>
      </w:pPr>
      <w:r w:rsidRPr="00B75E84">
        <w:rPr>
          <w:rFonts w:cs="Arial"/>
          <w:rtl/>
        </w:rPr>
        <w:t>לפיכך צדקו דברי זה החכם ש[ה]עושה מצוה אחת יש לו מליץ אחד להגינו מן הייסורין ולהצילו מהרהור עבירות. והעובר עבירה יש לו מלמד חובה, לפי שעבירה מכבה זכות מצוה שכבר עשה, לא המצוה שיעשה אחר כן, שכיון שעושה מצוה לשם שמים אין ספק שהרהר תשובה בלבו, ותשובה בלב כל שכן בהתמדת המעשים טובים אין ספק שהם כתריס בפני הפורענות</w:t>
      </w:r>
    </w:p>
    <w:p w14:paraId="580D454A" w14:textId="77777777" w:rsidR="00694F31" w:rsidRPr="00694F31" w:rsidRDefault="00694F31" w:rsidP="00694F31">
      <w:pPr>
        <w:spacing w:after="0" w:line="240" w:lineRule="auto"/>
        <w:contextualSpacing/>
        <w:jc w:val="right"/>
        <w:rPr>
          <w:rFonts w:cs="Arial"/>
          <w:sz w:val="10"/>
          <w:szCs w:val="10"/>
        </w:rPr>
      </w:pPr>
    </w:p>
    <w:p w14:paraId="102804A6" w14:textId="77777777" w:rsidR="00694F31" w:rsidRDefault="00694F31" w:rsidP="00694F31">
      <w:pPr>
        <w:spacing w:after="0" w:line="240" w:lineRule="auto"/>
        <w:contextualSpacing/>
        <w:jc w:val="right"/>
        <w:rPr>
          <w:rFonts w:cs="Arial"/>
          <w:rtl/>
        </w:rPr>
      </w:pPr>
      <w:r w:rsidRPr="00B75E84">
        <w:rPr>
          <w:rFonts w:cs="Arial"/>
        </w:rPr>
        <w:t> </w:t>
      </w:r>
      <w:r w:rsidRPr="00B75E84">
        <w:rPr>
          <w:rFonts w:cs="Arial"/>
          <w:rtl/>
        </w:rPr>
        <w:t>והר"ם פירש תשובה אחר מעשים רעים, ומעשים טובים מתחלתו, שניהם מונעים מן מכות וחולאים שיבאו לו. ונראה לפי זה שהוא נמשך אחר מה שאמר במקום שבעלי תשובה עומדין אין צדיקים גמורים עומדין (ברכות לד ע"ב), וזה בתשובה נפלאה עצומה. ולזה חדש שגם צדיקים מתחלתם מגינים מן הייסורים.</w:t>
      </w:r>
      <w:r>
        <w:rPr>
          <w:rFonts w:cs="Arial" w:hint="cs"/>
          <w:rtl/>
        </w:rPr>
        <w:t>..</w:t>
      </w:r>
    </w:p>
    <w:p w14:paraId="6A4702D5" w14:textId="77777777" w:rsidR="00694F31" w:rsidRPr="00694F31" w:rsidRDefault="00694F31" w:rsidP="00694F31">
      <w:pPr>
        <w:spacing w:after="0" w:line="240" w:lineRule="auto"/>
        <w:contextualSpacing/>
        <w:jc w:val="right"/>
        <w:rPr>
          <w:rFonts w:cs="Arial"/>
          <w:sz w:val="10"/>
          <w:szCs w:val="10"/>
          <w:rtl/>
        </w:rPr>
      </w:pPr>
    </w:p>
    <w:p w14:paraId="41449DDD" w14:textId="77777777" w:rsidR="00694F31" w:rsidRDefault="00694F31" w:rsidP="00694F31">
      <w:pPr>
        <w:spacing w:after="0" w:line="240" w:lineRule="auto"/>
        <w:contextualSpacing/>
        <w:jc w:val="right"/>
        <w:rPr>
          <w:rFonts w:cs="Arial"/>
          <w:rtl/>
        </w:rPr>
      </w:pPr>
      <w:r w:rsidRPr="00B75E84">
        <w:rPr>
          <w:rFonts w:cs="Arial"/>
          <w:rtl/>
        </w:rPr>
        <w:t>ובין לפירושי שאמרתי תשובה בלב, כשעושה אח"כ איזו מצוה, בין לפירוש הר"ם שפירש תשובה אחר מעשים רעים, אין להקשות ממה שאמר בפרק יום הכפורים (יומא פו ע"א) עבר על כריתות ומיתות ב"ד תשובה ויום הכפורים תולין וייסורין ממרקין, וא"כ אין התשובה כתריס שהרי הייסורין באים למרק שנאמר ופקדתי בשבט פשעם ונגעים עוונם (תהלים פט, לג), שהכוונה היא באמרו כתריס מה שכוונו שם באמרו תולין, שר"ל תולין שלא יאבדו ולא יכלו לגמרי, שהייסורין יהיו באופן שיכופר עוונם וישובו לקדמותם ולמעלתם, הכל בשקולו של אל דעות, והכלל הוא שלא ילכו לאבדון</w:t>
      </w:r>
    </w:p>
    <w:p w14:paraId="00690420" w14:textId="77777777" w:rsidR="00694F31" w:rsidRPr="00694F31" w:rsidRDefault="00694F31" w:rsidP="00694F31">
      <w:pPr>
        <w:spacing w:after="0" w:line="240" w:lineRule="auto"/>
        <w:contextualSpacing/>
        <w:jc w:val="right"/>
        <w:rPr>
          <w:rFonts w:cs="Arial"/>
          <w:sz w:val="8"/>
          <w:szCs w:val="8"/>
        </w:rPr>
      </w:pPr>
    </w:p>
    <w:p w14:paraId="57CFF51F" w14:textId="77777777" w:rsidR="00694F31" w:rsidRDefault="00694F31" w:rsidP="00694F31">
      <w:pPr>
        <w:spacing w:after="0" w:line="240" w:lineRule="auto"/>
        <w:contextualSpacing/>
        <w:jc w:val="right"/>
        <w:rPr>
          <w:rFonts w:cs="Arial"/>
          <w:rtl/>
        </w:rPr>
      </w:pPr>
      <w:r w:rsidRPr="00B75E84">
        <w:rPr>
          <w:rFonts w:cs="Arial"/>
        </w:rPr>
        <w:t> </w:t>
      </w:r>
      <w:r w:rsidRPr="00B75E84">
        <w:rPr>
          <w:rFonts w:cs="Arial"/>
          <w:rtl/>
        </w:rPr>
        <w:t>ואפשר לפירוש הר"ם לתרץ עוד, שכאן דבר בתשובה המעולה. שאמרו שם (יומא פו ע"ב) שזדונות נעשות לו כשגגות, והקשו שם לבעל זה המאמר שזדונות נעשה לו כזכויות, ותרצו כאן שבא למעלת אהבה וכאן שבא למעלת יראה. ואמרו באברהם עתה ידעתי כי ירא אלי"ם אתה (בראשית כב, יב), זה יורה שמעלת היראה אינה עד שיעלה למעלת אברהם בענין העקידה, ומעלת האהבה מעולה ממנה כמו שבא בפי' שם, ומבואר אצלי בפרשת לך לך, ובמאמר נורא אלי"ם ממקדשיך (תהלים סח, לו)</w:t>
      </w:r>
    </w:p>
    <w:p w14:paraId="5FFB9AA0" w14:textId="77777777" w:rsidR="00694F31" w:rsidRPr="00694F31" w:rsidRDefault="00694F31" w:rsidP="00694F31">
      <w:pPr>
        <w:spacing w:after="0" w:line="240" w:lineRule="auto"/>
        <w:contextualSpacing/>
        <w:jc w:val="right"/>
        <w:rPr>
          <w:rFonts w:cs="Arial"/>
          <w:sz w:val="10"/>
          <w:szCs w:val="10"/>
          <w:rtl/>
        </w:rPr>
      </w:pPr>
    </w:p>
    <w:p w14:paraId="74CBA7C0" w14:textId="2FEE8504" w:rsidR="00694F31" w:rsidRPr="00694F31" w:rsidRDefault="00694F31" w:rsidP="00694F31">
      <w:pPr>
        <w:spacing w:after="0" w:line="240" w:lineRule="auto"/>
        <w:contextualSpacing/>
        <w:jc w:val="right"/>
        <w:rPr>
          <w:rFonts w:cs="Arial"/>
          <w:b/>
          <w:bCs/>
          <w:u w:val="single"/>
        </w:rPr>
      </w:pPr>
      <w:r>
        <w:rPr>
          <w:rFonts w:cs="Arial" w:hint="cs"/>
          <w:b/>
          <w:bCs/>
          <w:u w:val="single"/>
          <w:rtl/>
        </w:rPr>
        <w:t xml:space="preserve">4) </w:t>
      </w:r>
      <w:r w:rsidRPr="00694F31">
        <w:rPr>
          <w:rFonts w:cs="Arial"/>
          <w:b/>
          <w:bCs/>
          <w:u w:val="single"/>
          <w:rtl/>
        </w:rPr>
        <w:t>דרך חיים על אבות פרק ד</w:t>
      </w:r>
    </w:p>
    <w:p w14:paraId="43EF5EE5" w14:textId="77777777" w:rsidR="00694F31" w:rsidRDefault="00694F31" w:rsidP="00694F31">
      <w:pPr>
        <w:spacing w:after="0" w:line="240" w:lineRule="auto"/>
        <w:contextualSpacing/>
        <w:jc w:val="right"/>
        <w:rPr>
          <w:rFonts w:cs="Arial"/>
          <w:rtl/>
        </w:rPr>
      </w:pPr>
      <w:r w:rsidRPr="00B3196A">
        <w:rPr>
          <w:rFonts w:cs="Arial"/>
          <w:rtl/>
        </w:rPr>
        <w:t xml:space="preserve">ויש מקשים על זה שאמר כאן תשובה ומעשים טובים כתריס בפני הפורענות, ובמסכת יומא (פ"ו, א') אמרו תשובה תולה ויסורין ממרקין וא"כ אין התשובה כתריס שהרי היסורין באין עליו. ובודאי קושיא של כלום היא, כי שם מדבר בפורענות שמביא הש"י על ידי החטא שכיון שחטא יש עליו עונש מצד מעשה החטא, ודבר זה דומה כאשר יש מכה בעצמו של אדם שאין התריס מגין על זה, אבל התריס מגין כאשר באה מבחוץ על האדם. וכך כאשר פרענות בא מצד החוץ שלא מן חטא האדם עצמו, דקיימא לן דיש יסורין בלא עון כדאיתא בפרק במה בהמה (שבת נ"ה, א') ואפילו אם אין יסורין בלא עון, אין צריך עון גדול רק עון בעלמא כדמוכח בפרק קמא דברכות (ה', ב') דבשביל דבר מה יסורין באין ובהני התשובה כתריס לפני הפורענות. והתם אמרו בחטא שראוי ליסורין כדי למרק החטא ותחילת ביאתן הן למרק, ובהני אין התשובה מועלת ואין מעשים טובים מועילים, ולא שייך שיהא התריס מגין, רק כאשר עיקר הפורענות לא בא בשביל החטא ואפילו אם יש כאן חטא, מ"מ עיקר ביאתם הם באים עליו שלא בשביל חטא והחטא גורם שימשלו </w:t>
      </w:r>
      <w:r w:rsidRPr="00694F31">
        <w:rPr>
          <w:rFonts w:cs="Arial"/>
          <w:sz w:val="21"/>
          <w:szCs w:val="21"/>
          <w:rtl/>
        </w:rPr>
        <w:t>היסורין בו ואם לא היה החטא לא היו היסורין מושלים, וכהאי גוונא התשובה ומעשים טובים כתריס מפני הפרענות, שעל ידי התשובה ומעשים טובים יש לאדם מדריגה עליונה נבדלת בלתי גשמית וזהו תריס לפני הפורענות שהפורענות הוא מצד החומר כמו שבארנו</w:t>
      </w:r>
      <w:r w:rsidRPr="00B3196A">
        <w:rPr>
          <w:rFonts w:cs="Arial"/>
        </w:rPr>
        <w:t>:</w:t>
      </w:r>
    </w:p>
    <w:p w14:paraId="511851A1" w14:textId="77777777" w:rsidR="00694F31" w:rsidRPr="00694F31" w:rsidRDefault="00694F31" w:rsidP="00694F31">
      <w:pPr>
        <w:spacing w:after="0" w:line="240" w:lineRule="auto"/>
        <w:contextualSpacing/>
        <w:jc w:val="right"/>
        <w:rPr>
          <w:rFonts w:cs="Arial"/>
          <w:sz w:val="10"/>
          <w:szCs w:val="10"/>
        </w:rPr>
      </w:pPr>
    </w:p>
    <w:p w14:paraId="2D00708C" w14:textId="37A68CC1" w:rsidR="00694F31" w:rsidRPr="004C0717" w:rsidRDefault="00694F31" w:rsidP="00694F31">
      <w:pPr>
        <w:spacing w:after="0" w:line="240" w:lineRule="auto"/>
        <w:contextualSpacing/>
        <w:jc w:val="right"/>
        <w:rPr>
          <w:rFonts w:cs="Arial"/>
          <w:b/>
          <w:bCs/>
          <w:u w:val="single"/>
        </w:rPr>
      </w:pPr>
      <w:r>
        <w:rPr>
          <w:rFonts w:cs="Arial" w:hint="cs"/>
          <w:b/>
          <w:bCs/>
          <w:u w:val="single"/>
          <w:rtl/>
        </w:rPr>
        <w:t xml:space="preserve">5) </w:t>
      </w:r>
      <w:r>
        <w:rPr>
          <w:rFonts w:cs="Arial" w:hint="cs"/>
          <w:b/>
          <w:bCs/>
          <w:u w:val="single"/>
          <w:rtl/>
        </w:rPr>
        <w:t xml:space="preserve"> </w:t>
      </w:r>
      <w:r w:rsidRPr="004C0717">
        <w:rPr>
          <w:rFonts w:cs="Arial"/>
          <w:b/>
          <w:bCs/>
          <w:u w:val="single"/>
          <w:rtl/>
        </w:rPr>
        <w:t>תוספות יום טוב מסכת אבות פרק ד</w:t>
      </w:r>
    </w:p>
    <w:p w14:paraId="04EA6349" w14:textId="78F4028D" w:rsidR="00694F31" w:rsidRDefault="00694F31" w:rsidP="00694F31">
      <w:pPr>
        <w:spacing w:after="0" w:line="240" w:lineRule="auto"/>
        <w:contextualSpacing/>
        <w:jc w:val="right"/>
        <w:rPr>
          <w:rFonts w:cs="Arial"/>
          <w:rtl/>
        </w:rPr>
      </w:pPr>
      <w:r w:rsidRPr="00B75E84">
        <w:rPr>
          <w:rFonts w:cs="Arial"/>
        </w:rPr>
        <w:t> </w:t>
      </w:r>
      <w:r w:rsidRPr="00B75E84">
        <w:rPr>
          <w:rFonts w:cs="Arial"/>
          <w:rtl/>
        </w:rPr>
        <w:t>בפני הפורענות - ואין להקשות ממה שבא בפרק בתרא דיומא [דף פ"ו</w:t>
      </w:r>
      <w:r>
        <w:rPr>
          <w:rFonts w:cs="Arial" w:hint="cs"/>
          <w:rtl/>
        </w:rPr>
        <w:t>]</w:t>
      </w:r>
      <w:r w:rsidRPr="00B75E84">
        <w:rPr>
          <w:rFonts w:cs="Arial"/>
          <w:rtl/>
        </w:rPr>
        <w:t xml:space="preserve"> תשובה [ויוה"כ] תולה ויסורין ממרקין כי הכוונה באמרו כאן כתריס הוא מה שכיונו שם באמרם תולין שהוא שלא יפסדו ולא יאבדו האנשים לגמרי שהיסורים באים בענין שיכופר עונם וישובו לקדמות מעלתם כפי שקולו של </w:t>
      </w:r>
      <w:r>
        <w:rPr>
          <w:rFonts w:cs="Arial" w:hint="cs"/>
          <w:rtl/>
        </w:rPr>
        <w:t>א-</w:t>
      </w:r>
      <w:r w:rsidRPr="00B75E84">
        <w:rPr>
          <w:rFonts w:cs="Arial"/>
          <w:rtl/>
        </w:rPr>
        <w:t>ל דעות והכלל בו הוא שיהיה להם כתריס ומגן שלא ילך לאבדון. מד"ש בשם הרי"א ז"ל.</w:t>
      </w:r>
    </w:p>
    <w:p w14:paraId="2EEF9261" w14:textId="77777777" w:rsidR="00694F31" w:rsidRPr="00694F31" w:rsidRDefault="00694F31" w:rsidP="00694F31">
      <w:pPr>
        <w:spacing w:after="0" w:line="240" w:lineRule="auto"/>
        <w:contextualSpacing/>
        <w:jc w:val="right"/>
        <w:rPr>
          <w:rFonts w:cs="Arial"/>
          <w:sz w:val="12"/>
          <w:szCs w:val="12"/>
          <w:rtl/>
        </w:rPr>
      </w:pPr>
    </w:p>
    <w:p w14:paraId="37CF692F" w14:textId="77777777" w:rsidR="00694F31" w:rsidRDefault="00694F31" w:rsidP="00694F31">
      <w:pPr>
        <w:spacing w:after="0" w:line="240" w:lineRule="auto"/>
        <w:contextualSpacing/>
        <w:jc w:val="right"/>
        <w:rPr>
          <w:rFonts w:cs="Arial"/>
          <w:rtl/>
        </w:rPr>
      </w:pPr>
      <w:r w:rsidRPr="00B75E84">
        <w:rPr>
          <w:rFonts w:cs="Arial"/>
          <w:rtl/>
        </w:rPr>
        <w:t xml:space="preserve">ולי נראה דפורענות דמתני' לאו בפורענות הבא על חטא. אלא בפורענות ורעות המתרגשות ובאות כפי מנהגו של עולם. ותדע שכן הוא. דאי לא תימא הכי מעשים טובים שפירש הרמב"ם בתחלת הענין כלומר שלא חטא ואי הכי מה לו לתריס כיון שלא חטא ואין עליו עונש ופורענות אלא ודאי פורענות היינו המקרים והרעות ההווים בעולם. </w:t>
      </w:r>
    </w:p>
    <w:p w14:paraId="2B02F0AA" w14:textId="77777777" w:rsidR="00694F31" w:rsidRPr="00694F31" w:rsidRDefault="00694F31" w:rsidP="00694F31">
      <w:pPr>
        <w:spacing w:after="0" w:line="240" w:lineRule="auto"/>
        <w:contextualSpacing/>
        <w:jc w:val="right"/>
        <w:rPr>
          <w:rFonts w:cs="Arial"/>
          <w:sz w:val="10"/>
          <w:szCs w:val="10"/>
          <w:rtl/>
        </w:rPr>
      </w:pPr>
    </w:p>
    <w:p w14:paraId="2AD77344" w14:textId="1B3F8A54" w:rsidR="00694F31" w:rsidRPr="004C0717" w:rsidRDefault="00694F31" w:rsidP="00694F31">
      <w:pPr>
        <w:spacing w:after="0" w:line="240" w:lineRule="auto"/>
        <w:contextualSpacing/>
        <w:jc w:val="right"/>
        <w:rPr>
          <w:rFonts w:cs="Arial"/>
          <w:b/>
          <w:bCs/>
          <w:u w:val="single"/>
        </w:rPr>
      </w:pPr>
      <w:r>
        <w:rPr>
          <w:rFonts w:cs="Arial" w:hint="cs"/>
          <w:b/>
          <w:bCs/>
          <w:u w:val="single"/>
          <w:rtl/>
        </w:rPr>
        <w:t>6</w:t>
      </w:r>
      <w:r>
        <w:rPr>
          <w:rFonts w:cs="Arial" w:hint="cs"/>
          <w:b/>
          <w:bCs/>
          <w:u w:val="single"/>
          <w:rtl/>
        </w:rPr>
        <w:t xml:space="preserve">) </w:t>
      </w:r>
      <w:r w:rsidRPr="004C0717">
        <w:rPr>
          <w:rFonts w:cs="Arial"/>
          <w:b/>
          <w:bCs/>
          <w:u w:val="single"/>
          <w:rtl/>
        </w:rPr>
        <w:t>לחם שמים</w:t>
      </w:r>
    </w:p>
    <w:p w14:paraId="266DB273" w14:textId="77777777" w:rsidR="00694F31" w:rsidRDefault="00694F31" w:rsidP="00694F31">
      <w:pPr>
        <w:spacing w:after="0" w:line="240" w:lineRule="auto"/>
        <w:contextualSpacing/>
        <w:jc w:val="right"/>
        <w:rPr>
          <w:rFonts w:cs="Arial"/>
          <w:rtl/>
        </w:rPr>
      </w:pPr>
      <w:r w:rsidRPr="00B75E84">
        <w:rPr>
          <w:rFonts w:cs="Arial"/>
          <w:rtl/>
        </w:rPr>
        <w:t>בפני הפורענות. המפרשים איש לדרכו פנו בדוחקים ליישב מה שיקשה על משנתנו. ממ"ש חז"ל יסורין ממרקין. ותי"ט במ"כ עשה טלאי ע"ג טלאי. לפרש פורענות על מקרים ורעות המתרגשות והכריח זה מחמת פירוש ר"מ. וכבר הראית לדעת. דפירוש ר"מ גופיה לאו מילתא היא. ולא כיפי תלי לה. ותו דהא ודאי מאי דחדית תי"ט לפלוגי בין פורענות על חטא. ובין מקרי הרעות ההווים בעולם. בורכא ובדותא היא. דהא אליבא דמ"ד אין יסורין בלא חטא. אמרה. אי הכי אטו לא כל דכן הוא. אם אין יסורין ליחיד בלא חטא. לרבים עאכ"ו. ואם גרמו החטאים להתרגש הרעות. אז לא תועיל לצדיק צדקתו על פי הרוב. כמו שאמרו כיון שנתנה רשות כו'. וזהו מפני שאמרו העולם נידון אחר רובו. ולפיכך יראה היחיד עצמו חציו זכאי. חציו חייב. עשה מצוה. אשריו שהכריע עצמו וכל העולם כולו לזכות. מכלל שאם לא הכריעו הזכיות. כל צדקותיו לא תזכרנה ליחיד. למלטו מן הפורענות. ולא זו בלבד. אלא שעל פי הרוב הצדיקים סובלים עונות הדור כמ"ש במקומות רבים על כן יטול מה שחדש על החדשים אנו בושים.</w:t>
      </w:r>
    </w:p>
    <w:p w14:paraId="5963A8D6" w14:textId="77777777" w:rsidR="00694F31" w:rsidRPr="00694F31" w:rsidRDefault="00694F31" w:rsidP="00694F31">
      <w:pPr>
        <w:spacing w:after="0" w:line="240" w:lineRule="auto"/>
        <w:contextualSpacing/>
        <w:jc w:val="right"/>
        <w:rPr>
          <w:rFonts w:cs="Arial"/>
          <w:sz w:val="6"/>
          <w:szCs w:val="6"/>
          <w:rtl/>
        </w:rPr>
      </w:pPr>
    </w:p>
    <w:p w14:paraId="5F510962" w14:textId="77777777" w:rsidR="00694F31" w:rsidRDefault="00694F31" w:rsidP="00694F31">
      <w:pPr>
        <w:spacing w:after="0" w:line="240" w:lineRule="auto"/>
        <w:contextualSpacing/>
        <w:jc w:val="right"/>
        <w:rPr>
          <w:rFonts w:cs="Arial"/>
          <w:rtl/>
        </w:rPr>
      </w:pPr>
      <w:r w:rsidRPr="00B75E84">
        <w:rPr>
          <w:rFonts w:cs="Arial"/>
          <w:rtl/>
        </w:rPr>
        <w:t xml:space="preserve">אמנם יש אתנו מקום מרווח בעז"ה. שלא תחול הקושיא כלל. והוא קצת תימה על המפרשים שלא שיערו. שאין כל היסורין שוין כמו שאין כל העונות שוין. אטו כולהו בחדא מחתא מחתינהו. דאיכא עבירות חמורות. דלא סגי להו בלא יסורין. ובהכי מיירי ההיא דפב"ב. דאר"א אין יסורין בלא עון. וזה בהפך מדעת ד"ח רבו של תי"ט. דהא עון. מזיד הוי. וכ"כ תו' שם בהדיא. והיינו דקאי התם אקרא דופקדתי בשבט פשעם ובנגעים עונם ונגעים יסורין מכוערים הם. (והא דאמרינן ארבעה מראות הללו. אינן אלא מזבח כפרה. אי בעית אימא היינו נמי מזבח כפרה. ואב"א הא לן והא להו. כדשנינן ריש ברכות) אבל יסורין קלין באין אף על השוגג. כדאמרינן בכמה דוכתי. והיינו טעמא דאשם תלוי. כדי להגין מן היסורין. ובכהאי גוונא מהני נמי תשובה ומע"ט. להציל מיסורין קלין. הבאין גם על השוגג. וההיא דבתרא דיומא דאייתי תי"ט. ודאי שאני דבמזיד ובחמורות עסקינן פשיטא דלא אפשר בלי מירוק יסורין קשים כמות. העומדים במקום מיתה. וכל זה ברור בס"ד. באופן שלא נשאר ריח קושיא וסתירה בין הסוגיות. ונתיישבו כולן בריוח. </w:t>
      </w:r>
    </w:p>
    <w:p w14:paraId="42E1E72B" w14:textId="77777777" w:rsidR="00694F31" w:rsidRDefault="00694F31" w:rsidP="00694F31">
      <w:pPr>
        <w:spacing w:after="0" w:line="240" w:lineRule="auto"/>
        <w:contextualSpacing/>
        <w:jc w:val="right"/>
        <w:rPr>
          <w:rFonts w:cs="Arial"/>
          <w:rtl/>
        </w:rPr>
      </w:pPr>
    </w:p>
    <w:p w14:paraId="709C9083" w14:textId="11C7D794" w:rsidR="00694F31" w:rsidRDefault="00694F31" w:rsidP="00694F31">
      <w:pPr>
        <w:spacing w:after="0" w:line="240" w:lineRule="auto"/>
        <w:contextualSpacing/>
        <w:jc w:val="right"/>
        <w:rPr>
          <w:rFonts w:cs="Arial"/>
          <w:b/>
          <w:bCs/>
          <w:sz w:val="28"/>
          <w:szCs w:val="28"/>
          <w:u w:val="single"/>
          <w:rtl/>
        </w:rPr>
      </w:pPr>
      <w:r>
        <w:rPr>
          <w:rFonts w:cs="Arial" w:hint="cs"/>
          <w:b/>
          <w:bCs/>
          <w:sz w:val="28"/>
          <w:szCs w:val="28"/>
          <w:u w:val="single"/>
          <w:rtl/>
        </w:rPr>
        <w:lastRenderedPageBreak/>
        <w:t>7) כוכבי אור</w:t>
      </w:r>
    </w:p>
    <w:p w14:paraId="4160EECC" w14:textId="77777777" w:rsidR="00694F31" w:rsidRDefault="00694F31" w:rsidP="00694F31">
      <w:pPr>
        <w:spacing w:after="0" w:line="240" w:lineRule="auto"/>
        <w:contextualSpacing/>
        <w:jc w:val="right"/>
        <w:rPr>
          <w:rFonts w:cs="Arial"/>
          <w:b/>
          <w:bCs/>
          <w:sz w:val="28"/>
          <w:szCs w:val="28"/>
          <w:u w:val="single"/>
          <w:rtl/>
        </w:rPr>
      </w:pPr>
      <w:r w:rsidRPr="0056449C">
        <w:rPr>
          <w:rFonts w:cs="Arial"/>
          <w:b/>
          <w:bCs/>
          <w:noProof/>
          <w:sz w:val="28"/>
          <w:szCs w:val="28"/>
          <w:u w:val="single"/>
        </w:rPr>
        <w:drawing>
          <wp:inline distT="0" distB="0" distL="0" distR="0" wp14:anchorId="425ED1CC" wp14:editId="0F56CD6F">
            <wp:extent cx="4553999" cy="441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9561" cy="445477"/>
                    </a:xfrm>
                    <a:prstGeom prst="rect">
                      <a:avLst/>
                    </a:prstGeom>
                    <a:noFill/>
                    <a:ln>
                      <a:noFill/>
                    </a:ln>
                  </pic:spPr>
                </pic:pic>
              </a:graphicData>
            </a:graphic>
          </wp:inline>
        </w:drawing>
      </w:r>
    </w:p>
    <w:p w14:paraId="3EB5CFAB" w14:textId="77777777" w:rsidR="00694F31" w:rsidRDefault="00694F31" w:rsidP="00694F31">
      <w:pPr>
        <w:spacing w:after="0" w:line="240" w:lineRule="auto"/>
        <w:contextualSpacing/>
        <w:jc w:val="right"/>
        <w:rPr>
          <w:rFonts w:cs="Arial"/>
          <w:b/>
          <w:bCs/>
          <w:sz w:val="28"/>
          <w:szCs w:val="28"/>
          <w:u w:val="single"/>
          <w:rtl/>
        </w:rPr>
      </w:pPr>
      <w:r w:rsidRPr="00A83030">
        <w:rPr>
          <w:rFonts w:cs="Arial"/>
          <w:b/>
          <w:bCs/>
          <w:noProof/>
          <w:sz w:val="28"/>
          <w:szCs w:val="28"/>
          <w:u w:val="single"/>
        </w:rPr>
        <w:drawing>
          <wp:inline distT="0" distB="0" distL="0" distR="0" wp14:anchorId="7924E219" wp14:editId="4A0474F5">
            <wp:extent cx="4660305" cy="133681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6465" cy="1341452"/>
                    </a:xfrm>
                    <a:prstGeom prst="rect">
                      <a:avLst/>
                    </a:prstGeom>
                    <a:noFill/>
                    <a:ln>
                      <a:noFill/>
                    </a:ln>
                  </pic:spPr>
                </pic:pic>
              </a:graphicData>
            </a:graphic>
          </wp:inline>
        </w:drawing>
      </w:r>
    </w:p>
    <w:p w14:paraId="5FEC9881" w14:textId="0E327D20" w:rsidR="00694F31" w:rsidRDefault="00694F31" w:rsidP="00694F31">
      <w:pPr>
        <w:spacing w:after="0" w:line="240" w:lineRule="auto"/>
        <w:contextualSpacing/>
        <w:jc w:val="right"/>
        <w:rPr>
          <w:rFonts w:cs="Arial"/>
          <w:b/>
          <w:bCs/>
          <w:sz w:val="28"/>
          <w:szCs w:val="28"/>
          <w:u w:val="single"/>
          <w:rtl/>
        </w:rPr>
      </w:pPr>
      <w:r>
        <w:rPr>
          <w:rFonts w:cs="Arial" w:hint="cs"/>
          <w:b/>
          <w:bCs/>
          <w:sz w:val="28"/>
          <w:szCs w:val="28"/>
          <w:u w:val="single"/>
          <w:rtl/>
        </w:rPr>
        <w:t>8) יעב"ץ</w:t>
      </w:r>
    </w:p>
    <w:p w14:paraId="12A36E59" w14:textId="77777777" w:rsidR="00694F31" w:rsidRDefault="00694F31" w:rsidP="00694F31">
      <w:pPr>
        <w:spacing w:after="0" w:line="240" w:lineRule="auto"/>
        <w:contextualSpacing/>
        <w:jc w:val="right"/>
        <w:rPr>
          <w:rFonts w:cs="Arial"/>
          <w:b/>
          <w:bCs/>
          <w:sz w:val="28"/>
          <w:szCs w:val="28"/>
          <w:u w:val="single"/>
          <w:rtl/>
        </w:rPr>
      </w:pPr>
      <w:r w:rsidRPr="00D120FB">
        <w:rPr>
          <w:rFonts w:cs="Arial"/>
          <w:b/>
          <w:bCs/>
          <w:noProof/>
          <w:sz w:val="28"/>
          <w:szCs w:val="28"/>
          <w:u w:val="single"/>
        </w:rPr>
        <w:drawing>
          <wp:inline distT="0" distB="0" distL="0" distR="0" wp14:anchorId="64480C67" wp14:editId="38BDD1E3">
            <wp:extent cx="4905596" cy="21539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7860" cy="2154914"/>
                    </a:xfrm>
                    <a:prstGeom prst="rect">
                      <a:avLst/>
                    </a:prstGeom>
                    <a:noFill/>
                    <a:ln>
                      <a:noFill/>
                    </a:ln>
                  </pic:spPr>
                </pic:pic>
              </a:graphicData>
            </a:graphic>
          </wp:inline>
        </w:drawing>
      </w:r>
    </w:p>
    <w:p w14:paraId="22CD0BE0" w14:textId="77777777" w:rsidR="00694F31" w:rsidRDefault="00694F31" w:rsidP="00694F31">
      <w:pPr>
        <w:spacing w:after="0" w:line="240" w:lineRule="auto"/>
        <w:contextualSpacing/>
        <w:jc w:val="right"/>
        <w:rPr>
          <w:rFonts w:cs="Arial"/>
          <w:b/>
          <w:bCs/>
          <w:sz w:val="28"/>
          <w:szCs w:val="28"/>
          <w:u w:val="single"/>
          <w:rtl/>
        </w:rPr>
      </w:pPr>
      <w:r w:rsidRPr="002C013C">
        <w:rPr>
          <w:rFonts w:cs="Arial"/>
          <w:b/>
          <w:bCs/>
          <w:noProof/>
          <w:sz w:val="28"/>
          <w:szCs w:val="28"/>
          <w:u w:val="single"/>
        </w:rPr>
        <w:drawing>
          <wp:inline distT="0" distB="0" distL="0" distR="0" wp14:anchorId="09783CF4" wp14:editId="2CB95CA6">
            <wp:extent cx="4991155" cy="32095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98438" cy="3214274"/>
                    </a:xfrm>
                    <a:prstGeom prst="rect">
                      <a:avLst/>
                    </a:prstGeom>
                    <a:noFill/>
                    <a:ln>
                      <a:noFill/>
                    </a:ln>
                  </pic:spPr>
                </pic:pic>
              </a:graphicData>
            </a:graphic>
          </wp:inline>
        </w:drawing>
      </w:r>
    </w:p>
    <w:p w14:paraId="2F4D450D" w14:textId="77777777" w:rsidR="00694F31" w:rsidRPr="006164E4" w:rsidRDefault="00694F31" w:rsidP="00694F31">
      <w:pPr>
        <w:spacing w:after="0" w:line="240" w:lineRule="auto"/>
        <w:contextualSpacing/>
        <w:jc w:val="right"/>
        <w:rPr>
          <w:rFonts w:cs="Arial"/>
          <w:b/>
          <w:bCs/>
          <w:sz w:val="28"/>
          <w:szCs w:val="28"/>
          <w:u w:val="single"/>
        </w:rPr>
      </w:pPr>
      <w:bookmarkStart w:id="0" w:name="_GoBack"/>
      <w:bookmarkEnd w:id="0"/>
      <w:r w:rsidRPr="00C809AB">
        <w:rPr>
          <w:rFonts w:cs="Arial"/>
          <w:b/>
          <w:bCs/>
          <w:noProof/>
          <w:sz w:val="28"/>
          <w:szCs w:val="28"/>
          <w:u w:val="single"/>
        </w:rPr>
        <w:drawing>
          <wp:inline distT="0" distB="0" distL="0" distR="0" wp14:anchorId="435D8519" wp14:editId="2CBF8867">
            <wp:extent cx="5004161" cy="29019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5997" cy="2903015"/>
                    </a:xfrm>
                    <a:prstGeom prst="rect">
                      <a:avLst/>
                    </a:prstGeom>
                    <a:noFill/>
                    <a:ln>
                      <a:noFill/>
                    </a:ln>
                  </pic:spPr>
                </pic:pic>
              </a:graphicData>
            </a:graphic>
          </wp:inline>
        </w:drawing>
      </w:r>
    </w:p>
    <w:p w14:paraId="0EF23C4F" w14:textId="77777777" w:rsidR="00D64FCF" w:rsidRDefault="00694F31"/>
    <w:sectPr w:rsidR="00D64FCF" w:rsidSect="008B273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D1F84"/>
    <w:multiLevelType w:val="hybridMultilevel"/>
    <w:tmpl w:val="9124A4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6F4163"/>
    <w:multiLevelType w:val="hybridMultilevel"/>
    <w:tmpl w:val="7FAC5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31"/>
    <w:rsid w:val="003F27B3"/>
    <w:rsid w:val="00694F31"/>
    <w:rsid w:val="009D2E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241D"/>
  <w15:chartTrackingRefBased/>
  <w15:docId w15:val="{272C4271-0745-46A8-A289-6CBEA131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F3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F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8" ma:contentTypeDescription="Create a new document." ma:contentTypeScope="" ma:versionID="8d3838c356c866ab98356c15d5c1b760">
  <xsd:schema xmlns:xsd="http://www.w3.org/2001/XMLSchema" xmlns:xs="http://www.w3.org/2001/XMLSchema" xmlns:p="http://schemas.microsoft.com/office/2006/metadata/properties" xmlns:ns3="398ebfaf-ac59-4ca7-bae4-99fe9515210a" targetNamespace="http://schemas.microsoft.com/office/2006/metadata/properties" ma:root="true" ma:fieldsID="3838dfa71a524fa7c37c7902d890b549"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7AB41-F890-411C-8B07-79A745472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57522-A8F8-408D-804A-C8590A36BBD1}">
  <ds:schemaRefs>
    <ds:schemaRef ds:uri="http://schemas.microsoft.com/sharepoint/v3/contenttype/forms"/>
  </ds:schemaRefs>
</ds:datastoreItem>
</file>

<file path=customXml/itemProps3.xml><?xml version="1.0" encoding="utf-8"?>
<ds:datastoreItem xmlns:ds="http://schemas.openxmlformats.org/officeDocument/2006/customXml" ds:itemID="{433B1779-9B7D-4124-A847-45F9A4A8BE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1013</Words>
  <Characters>4967</Characters>
  <Application>Microsoft Office Word</Application>
  <DocSecurity>0</DocSecurity>
  <Lines>91</Lines>
  <Paragraphs>10</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1</cp:revision>
  <dcterms:created xsi:type="dcterms:W3CDTF">2019-12-01T13:31:00Z</dcterms:created>
  <dcterms:modified xsi:type="dcterms:W3CDTF">2019-12-01T13:40:00Z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