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A231F" w14:textId="77777777" w:rsidR="009F4441" w:rsidRPr="00EA7F40" w:rsidRDefault="009F4441" w:rsidP="009F4441">
      <w:pPr>
        <w:pStyle w:val="Title"/>
        <w:bidi/>
        <w:rPr>
          <w:sz w:val="72"/>
          <w:szCs w:val="72"/>
          <w:rtl/>
        </w:rPr>
      </w:pPr>
      <w:r w:rsidRPr="00EA7F40">
        <w:rPr>
          <w:rFonts w:hint="cs"/>
          <w:sz w:val="72"/>
          <w:szCs w:val="72"/>
          <w:rtl/>
        </w:rPr>
        <w:t xml:space="preserve">עזר לצבי </w:t>
      </w:r>
    </w:p>
    <w:p w14:paraId="10D25114" w14:textId="77777777" w:rsidR="009F4441" w:rsidRDefault="00367FF8" w:rsidP="009F4441">
      <w:pPr>
        <w:pStyle w:val="Subtitle"/>
      </w:pPr>
      <w:r>
        <w:rPr>
          <w:rFonts w:hint="cs"/>
          <w:rtl/>
        </w:rPr>
        <w:t>פרשת מצורע</w:t>
      </w:r>
    </w:p>
    <w:p w14:paraId="6F7D268F" w14:textId="77777777" w:rsidR="00A92E35" w:rsidRDefault="00A92E35" w:rsidP="00E06558">
      <w:pPr>
        <w:pStyle w:val="Heading1"/>
      </w:pPr>
      <w:bookmarkStart w:id="0" w:name="_Toc521479323"/>
      <w:r>
        <w:rPr>
          <w:rFonts w:hint="cs"/>
          <w:rtl/>
        </w:rPr>
        <w:t xml:space="preserve">קריאת התורה </w:t>
      </w:r>
      <w:r>
        <w:rPr>
          <w:rtl/>
        </w:rPr>
        <w:t>–</w:t>
      </w:r>
      <w:r>
        <w:rPr>
          <w:rFonts w:hint="cs"/>
          <w:rtl/>
        </w:rPr>
        <w:t xml:space="preserve"> פרשת פרה מן התורה</w:t>
      </w:r>
      <w:bookmarkEnd w:id="0"/>
    </w:p>
    <w:p w14:paraId="2F3D21EE" w14:textId="77777777" w:rsidR="00A92E35" w:rsidRDefault="00A92E35" w:rsidP="00E06558">
      <w:pPr>
        <w:pStyle w:val="Heading2"/>
        <w:rPr>
          <w:rtl/>
        </w:rPr>
      </w:pPr>
      <w:r>
        <w:rPr>
          <w:rFonts w:hint="cs"/>
          <w:rtl/>
        </w:rPr>
        <w:t xml:space="preserve">תוספות ברכות </w:t>
      </w:r>
      <w:proofErr w:type="spellStart"/>
      <w:r>
        <w:rPr>
          <w:rFonts w:hint="cs"/>
          <w:rtl/>
        </w:rPr>
        <w:t>יג</w:t>
      </w:r>
      <w:proofErr w:type="spellEnd"/>
      <w:r>
        <w:rPr>
          <w:rFonts w:hint="cs"/>
          <w:rtl/>
        </w:rPr>
        <w:t>. ד"ה בלשון</w:t>
      </w:r>
    </w:p>
    <w:p w14:paraId="574B632D" w14:textId="77777777" w:rsidR="00A92E35" w:rsidRDefault="00A92E35" w:rsidP="00E06558">
      <w:pPr>
        <w:pStyle w:val="Heading2"/>
        <w:rPr>
          <w:rtl/>
        </w:rPr>
      </w:pPr>
      <w:r>
        <w:rPr>
          <w:rFonts w:hint="cs"/>
          <w:rtl/>
        </w:rPr>
        <w:t xml:space="preserve">שלחן ערוך אורח חיים </w:t>
      </w:r>
      <w:proofErr w:type="spellStart"/>
      <w:r>
        <w:rPr>
          <w:rFonts w:hint="cs"/>
          <w:rtl/>
        </w:rPr>
        <w:t>תרפה:ז</w:t>
      </w:r>
      <w:proofErr w:type="spellEnd"/>
    </w:p>
    <w:p w14:paraId="0228ACA3" w14:textId="77777777" w:rsidR="00A92E35" w:rsidRDefault="00A92E35" w:rsidP="00A92E35">
      <w:pPr>
        <w:rPr>
          <w:rtl/>
        </w:rPr>
      </w:pPr>
      <w:r>
        <w:rPr>
          <w:rFonts w:hint="cs"/>
          <w:rtl/>
        </w:rPr>
        <w:t>י"א שפרשת זכור ופרשת פרה אדומה חייבים לקראם מדאורייתא, לפיכך בני הישובים שאין להם מנין צריכים לבא למקום שיש מנין בשבתות הללו כדי לשמוע פרשיות אלו שהם מדאורייתא.</w:t>
      </w:r>
      <w:r>
        <w:rPr>
          <w:rFonts w:hint="cs"/>
          <w:sz w:val="18"/>
          <w:szCs w:val="18"/>
          <w:rtl/>
        </w:rPr>
        <w:t xml:space="preserve"> הגה: ואם אי אפשר להם לבא, מ"מ יזהרו </w:t>
      </w:r>
      <w:proofErr w:type="spellStart"/>
      <w:r>
        <w:rPr>
          <w:rFonts w:hint="cs"/>
          <w:sz w:val="18"/>
          <w:szCs w:val="18"/>
          <w:rtl/>
        </w:rPr>
        <w:t>לקרותם</w:t>
      </w:r>
      <w:proofErr w:type="spellEnd"/>
      <w:r>
        <w:rPr>
          <w:rFonts w:hint="cs"/>
          <w:sz w:val="18"/>
          <w:szCs w:val="18"/>
          <w:rtl/>
        </w:rPr>
        <w:t xml:space="preserve"> בנגינתם ובטעמם (מצא כתוב</w:t>
      </w:r>
      <w:r>
        <w:rPr>
          <w:sz w:val="18"/>
          <w:szCs w:val="18"/>
        </w:rPr>
        <w:t>).</w:t>
      </w:r>
    </w:p>
    <w:p w14:paraId="6D73A348" w14:textId="77777777" w:rsidR="00A92E35" w:rsidRDefault="00A92E35" w:rsidP="00E06558">
      <w:pPr>
        <w:pStyle w:val="Heading2"/>
        <w:rPr>
          <w:rtl/>
        </w:rPr>
      </w:pPr>
      <w:r>
        <w:rPr>
          <w:rFonts w:hint="cs"/>
          <w:rtl/>
        </w:rPr>
        <w:t xml:space="preserve">ביאור </w:t>
      </w:r>
      <w:proofErr w:type="spellStart"/>
      <w:r>
        <w:rPr>
          <w:rFonts w:hint="cs"/>
          <w:rtl/>
        </w:rPr>
        <w:t>הגר"א</w:t>
      </w:r>
      <w:proofErr w:type="spellEnd"/>
      <w:r>
        <w:rPr>
          <w:rFonts w:hint="cs"/>
          <w:rtl/>
        </w:rPr>
        <w:t xml:space="preserve"> אורח חיים </w:t>
      </w:r>
      <w:proofErr w:type="spellStart"/>
      <w:r>
        <w:rPr>
          <w:rFonts w:hint="cs"/>
          <w:rtl/>
        </w:rPr>
        <w:t>תרפה:ז</w:t>
      </w:r>
      <w:proofErr w:type="spellEnd"/>
    </w:p>
    <w:p w14:paraId="084BF899" w14:textId="77777777" w:rsidR="00A92E35" w:rsidRDefault="00A92E35" w:rsidP="00A92E35">
      <w:pPr>
        <w:rPr>
          <w:rtl/>
        </w:rPr>
      </w:pPr>
      <w:r>
        <w:rPr>
          <w:rFonts w:hint="cs"/>
          <w:rtl/>
        </w:rPr>
        <w:t xml:space="preserve">ופרשת פרה. בתוספות שלפנינו </w:t>
      </w:r>
      <w:proofErr w:type="spellStart"/>
      <w:r>
        <w:rPr>
          <w:rFonts w:hint="cs"/>
          <w:rtl/>
        </w:rPr>
        <w:t>ליתא</w:t>
      </w:r>
      <w:proofErr w:type="spellEnd"/>
      <w:r>
        <w:rPr>
          <w:rFonts w:hint="cs"/>
          <w:rtl/>
        </w:rPr>
        <w:t xml:space="preserve"> לא בברכות ולא במגילה י"ז ב' וכן באשרי פרק (ו') [ז'] </w:t>
      </w:r>
      <w:proofErr w:type="spellStart"/>
      <w:r>
        <w:rPr>
          <w:rFonts w:hint="cs"/>
          <w:rtl/>
        </w:rPr>
        <w:t>דברכות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ליתא</w:t>
      </w:r>
      <w:proofErr w:type="spellEnd"/>
      <w:r>
        <w:rPr>
          <w:rFonts w:hint="cs"/>
          <w:rtl/>
        </w:rPr>
        <w:t xml:space="preserve"> אלא זכור </w:t>
      </w:r>
      <w:proofErr w:type="spellStart"/>
      <w:r>
        <w:rPr>
          <w:rFonts w:hint="cs"/>
          <w:rtl/>
        </w:rPr>
        <w:t>ונסחא</w:t>
      </w:r>
      <w:proofErr w:type="spellEnd"/>
      <w:r>
        <w:rPr>
          <w:rFonts w:hint="cs"/>
          <w:rtl/>
        </w:rPr>
        <w:t xml:space="preserve"> משובשת </w:t>
      </w:r>
      <w:proofErr w:type="spellStart"/>
      <w:r>
        <w:rPr>
          <w:rFonts w:hint="cs"/>
          <w:rtl/>
        </w:rPr>
        <w:t>נזדמנה</w:t>
      </w:r>
      <w:proofErr w:type="spellEnd"/>
      <w:r>
        <w:rPr>
          <w:rFonts w:hint="cs"/>
          <w:rtl/>
        </w:rPr>
        <w:t xml:space="preserve"> לו</w:t>
      </w:r>
      <w:r>
        <w:t>:</w:t>
      </w:r>
    </w:p>
    <w:p w14:paraId="658CBE4D" w14:textId="77777777" w:rsidR="00A92E35" w:rsidRDefault="00A92E35" w:rsidP="00E06558">
      <w:pPr>
        <w:pStyle w:val="Heading2"/>
        <w:rPr>
          <w:rtl/>
        </w:rPr>
      </w:pPr>
      <w:r>
        <w:rPr>
          <w:rFonts w:hint="cs"/>
          <w:rtl/>
        </w:rPr>
        <w:t xml:space="preserve">ערוך </w:t>
      </w:r>
      <w:proofErr w:type="spellStart"/>
      <w:r>
        <w:rPr>
          <w:rFonts w:hint="cs"/>
          <w:rtl/>
        </w:rPr>
        <w:t>השלחן</w:t>
      </w:r>
      <w:proofErr w:type="spellEnd"/>
      <w:r>
        <w:rPr>
          <w:rFonts w:hint="cs"/>
          <w:rtl/>
        </w:rPr>
        <w:t xml:space="preserve"> אורח חיים </w:t>
      </w:r>
      <w:proofErr w:type="spellStart"/>
      <w:r>
        <w:rPr>
          <w:rFonts w:hint="cs"/>
          <w:rtl/>
        </w:rPr>
        <w:t>תרפה:ז</w:t>
      </w:r>
      <w:proofErr w:type="spellEnd"/>
    </w:p>
    <w:p w14:paraId="636D7D11" w14:textId="77777777" w:rsidR="00A92E35" w:rsidRDefault="00A92E35" w:rsidP="00A92E35">
      <w:pPr>
        <w:rPr>
          <w:rtl/>
        </w:rPr>
      </w:pPr>
      <w:proofErr w:type="spellStart"/>
      <w:r>
        <w:rPr>
          <w:rFonts w:hint="cs"/>
          <w:rtl/>
        </w:rPr>
        <w:t>ועדיפי</w:t>
      </w:r>
      <w:proofErr w:type="spellEnd"/>
      <w:r>
        <w:rPr>
          <w:rFonts w:hint="cs"/>
          <w:rtl/>
        </w:rPr>
        <w:t xml:space="preserve"> לעניין הילוך למניין מקריאת המגילה ואע"ג </w:t>
      </w:r>
      <w:proofErr w:type="spellStart"/>
      <w:r>
        <w:rPr>
          <w:rFonts w:hint="cs"/>
          <w:rtl/>
        </w:rPr>
        <w:t>דקריאת</w:t>
      </w:r>
      <w:proofErr w:type="spellEnd"/>
      <w:r>
        <w:rPr>
          <w:rFonts w:hint="cs"/>
          <w:rtl/>
        </w:rPr>
        <w:t xml:space="preserve"> המגילה דוחה כל הדברים כמ"ש בסי' תרפ"ז מ"מ הא אפשר </w:t>
      </w:r>
      <w:proofErr w:type="spellStart"/>
      <w:r>
        <w:rPr>
          <w:rFonts w:hint="cs"/>
          <w:rtl/>
        </w:rPr>
        <w:t>לקרותה</w:t>
      </w:r>
      <w:proofErr w:type="spellEnd"/>
      <w:r>
        <w:rPr>
          <w:rFonts w:hint="cs"/>
          <w:rtl/>
        </w:rPr>
        <w:t xml:space="preserve"> ביחידית </w:t>
      </w:r>
      <w:proofErr w:type="spellStart"/>
      <w:r>
        <w:rPr>
          <w:rFonts w:hint="cs"/>
          <w:rtl/>
        </w:rPr>
        <w:t>משא"כ</w:t>
      </w:r>
      <w:proofErr w:type="spellEnd"/>
      <w:r>
        <w:rPr>
          <w:rFonts w:hint="cs"/>
          <w:rtl/>
        </w:rPr>
        <w:t xml:space="preserve"> פרשיות שבתורה אין קורין אלא בעשרה [ט"ז </w:t>
      </w:r>
      <w:proofErr w:type="spellStart"/>
      <w:r>
        <w:rPr>
          <w:rFonts w:hint="cs"/>
          <w:rtl/>
        </w:rPr>
        <w:t>סק"ב</w:t>
      </w:r>
      <w:proofErr w:type="spellEnd"/>
      <w:r>
        <w:rPr>
          <w:rFonts w:hint="cs"/>
          <w:rtl/>
        </w:rPr>
        <w:t xml:space="preserve"> בשם </w:t>
      </w:r>
      <w:proofErr w:type="spellStart"/>
      <w:r>
        <w:rPr>
          <w:rFonts w:hint="cs"/>
          <w:rtl/>
        </w:rPr>
        <w:t>תה"ד</w:t>
      </w:r>
      <w:proofErr w:type="spellEnd"/>
      <w:r>
        <w:rPr>
          <w:rFonts w:hint="cs"/>
          <w:rtl/>
        </w:rPr>
        <w:t xml:space="preserve">] אך גדולי האחרונים תמהו מאין לנו לומר דגם פרשת פרה היא מן התורה </w:t>
      </w:r>
      <w:proofErr w:type="spellStart"/>
      <w:r>
        <w:rPr>
          <w:rFonts w:hint="cs"/>
          <w:rtl/>
        </w:rPr>
        <w:t>דאין</w:t>
      </w:r>
      <w:proofErr w:type="spellEnd"/>
      <w:r>
        <w:rPr>
          <w:rFonts w:hint="cs"/>
          <w:rtl/>
        </w:rPr>
        <w:t xml:space="preserve"> שום רמז לזה בגמ' ולכן פסקו דאינה מן התורה [</w:t>
      </w:r>
      <w:proofErr w:type="spellStart"/>
      <w:r>
        <w:rPr>
          <w:rFonts w:hint="cs"/>
          <w:rtl/>
        </w:rPr>
        <w:t>מג"א</w:t>
      </w:r>
      <w:proofErr w:type="spellEnd"/>
      <w:r>
        <w:rPr>
          <w:rFonts w:hint="cs"/>
          <w:rtl/>
        </w:rPr>
        <w:t xml:space="preserve">] ולענ"ד נראה דיש לזה רמז בתורה </w:t>
      </w:r>
      <w:proofErr w:type="spellStart"/>
      <w:r>
        <w:rPr>
          <w:rFonts w:hint="cs"/>
          <w:rtl/>
        </w:rPr>
        <w:t>דהנה</w:t>
      </w:r>
      <w:proofErr w:type="spellEnd"/>
      <w:r>
        <w:rPr>
          <w:rFonts w:hint="cs"/>
          <w:rtl/>
        </w:rPr>
        <w:t xml:space="preserve"> בפרשת פרה אדומה כתיב באמצע הפרשה [במדבר </w:t>
      </w:r>
      <w:proofErr w:type="spellStart"/>
      <w:r>
        <w:rPr>
          <w:rFonts w:hint="cs"/>
          <w:rtl/>
        </w:rPr>
        <w:t>יט</w:t>
      </w:r>
      <w:proofErr w:type="spellEnd"/>
      <w:r>
        <w:rPr>
          <w:rFonts w:hint="cs"/>
          <w:rtl/>
        </w:rPr>
        <w:t xml:space="preserve">, י] </w:t>
      </w:r>
      <w:proofErr w:type="spellStart"/>
      <w:r>
        <w:rPr>
          <w:rFonts w:hint="cs"/>
          <w:rtl/>
        </w:rPr>
        <w:t>והיתה</w:t>
      </w:r>
      <w:proofErr w:type="spellEnd"/>
      <w:r>
        <w:rPr>
          <w:rFonts w:hint="cs"/>
          <w:rtl/>
        </w:rPr>
        <w:t xml:space="preserve"> לבני ישראל וגו' </w:t>
      </w:r>
      <w:proofErr w:type="spellStart"/>
      <w:r>
        <w:rPr>
          <w:rFonts w:hint="cs"/>
          <w:rtl/>
        </w:rPr>
        <w:t>לחקת</w:t>
      </w:r>
      <w:proofErr w:type="spellEnd"/>
      <w:r>
        <w:rPr>
          <w:rFonts w:hint="cs"/>
          <w:rtl/>
        </w:rPr>
        <w:t xml:space="preserve"> עולם </w:t>
      </w:r>
      <w:proofErr w:type="spellStart"/>
      <w:r>
        <w:rPr>
          <w:rFonts w:hint="cs"/>
          <w:rtl/>
        </w:rPr>
        <w:t>ודרשינן</w:t>
      </w:r>
      <w:proofErr w:type="spellEnd"/>
      <w:r>
        <w:rPr>
          <w:rFonts w:hint="cs"/>
          <w:rtl/>
        </w:rPr>
        <w:t xml:space="preserve"> בספרי [</w:t>
      </w:r>
      <w:proofErr w:type="spellStart"/>
      <w:r>
        <w:rPr>
          <w:rFonts w:hint="cs"/>
          <w:rtl/>
        </w:rPr>
        <w:t>פיסקא</w:t>
      </w:r>
      <w:proofErr w:type="spellEnd"/>
      <w:r>
        <w:rPr>
          <w:rFonts w:hint="cs"/>
          <w:rtl/>
        </w:rPr>
        <w:t xml:space="preserve"> קכ"ד] שתהא נוהגת לדורות ע"ש </w:t>
      </w:r>
      <w:proofErr w:type="spellStart"/>
      <w:r>
        <w:rPr>
          <w:rFonts w:hint="cs"/>
          <w:rtl/>
        </w:rPr>
        <w:t>דאפר</w:t>
      </w:r>
      <w:proofErr w:type="spellEnd"/>
      <w:r>
        <w:rPr>
          <w:rFonts w:hint="cs"/>
          <w:rtl/>
        </w:rPr>
        <w:t xml:space="preserve"> פרה אינו תלוי במקדש דגם בזמן האמוראים היה להם אפר פרה </w:t>
      </w:r>
      <w:proofErr w:type="spellStart"/>
      <w:r>
        <w:rPr>
          <w:rFonts w:hint="cs"/>
          <w:rtl/>
        </w:rPr>
        <w:t>כדאמרינן</w:t>
      </w:r>
      <w:proofErr w:type="spellEnd"/>
      <w:r>
        <w:rPr>
          <w:rFonts w:hint="cs"/>
          <w:rtl/>
        </w:rPr>
        <w:t xml:space="preserve"> חבריא </w:t>
      </w:r>
      <w:proofErr w:type="spellStart"/>
      <w:r>
        <w:rPr>
          <w:rFonts w:hint="cs"/>
          <w:rtl/>
        </w:rPr>
        <w:t>מדכן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בגלילא</w:t>
      </w:r>
      <w:proofErr w:type="spellEnd"/>
      <w:r>
        <w:rPr>
          <w:rFonts w:hint="cs"/>
          <w:rtl/>
        </w:rPr>
        <w:t xml:space="preserve"> [חגיגה כ"ה. וע' נדה ו': ברש"י ד"ה קדש] ובסוף פרשה כתיב עוד [במדבר </w:t>
      </w:r>
      <w:proofErr w:type="spellStart"/>
      <w:r>
        <w:rPr>
          <w:rFonts w:hint="cs"/>
          <w:rtl/>
        </w:rPr>
        <w:t>יט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כא</w:t>
      </w:r>
      <w:proofErr w:type="spellEnd"/>
      <w:r>
        <w:rPr>
          <w:rFonts w:hint="cs"/>
          <w:rtl/>
        </w:rPr>
        <w:t xml:space="preserve">] </w:t>
      </w:r>
      <w:proofErr w:type="spellStart"/>
      <w:r>
        <w:rPr>
          <w:rFonts w:hint="cs"/>
          <w:rtl/>
        </w:rPr>
        <w:t>והיתה</w:t>
      </w:r>
      <w:proofErr w:type="spellEnd"/>
      <w:r>
        <w:rPr>
          <w:rFonts w:hint="cs"/>
          <w:rtl/>
        </w:rPr>
        <w:t xml:space="preserve"> להם </w:t>
      </w:r>
      <w:proofErr w:type="spellStart"/>
      <w:r>
        <w:rPr>
          <w:rFonts w:hint="cs"/>
          <w:rtl/>
        </w:rPr>
        <w:t>לחקת</w:t>
      </w:r>
      <w:proofErr w:type="spellEnd"/>
      <w:r>
        <w:rPr>
          <w:rFonts w:hint="cs"/>
          <w:rtl/>
        </w:rPr>
        <w:t xml:space="preserve"> עולם ומיותר הוא אלא </w:t>
      </w:r>
      <w:proofErr w:type="spellStart"/>
      <w:r>
        <w:rPr>
          <w:rFonts w:hint="cs"/>
          <w:rtl/>
        </w:rPr>
        <w:t>דאתי</w:t>
      </w:r>
      <w:proofErr w:type="spellEnd"/>
      <w:r>
        <w:rPr>
          <w:rFonts w:hint="cs"/>
          <w:rtl/>
        </w:rPr>
        <w:t xml:space="preserve"> לעניין קריאת הפרשה אף בזמן </w:t>
      </w:r>
      <w:proofErr w:type="spellStart"/>
      <w:r>
        <w:rPr>
          <w:rFonts w:hint="cs"/>
          <w:rtl/>
        </w:rPr>
        <w:t>דליכא</w:t>
      </w:r>
      <w:proofErr w:type="spellEnd"/>
      <w:r>
        <w:rPr>
          <w:rFonts w:hint="cs"/>
          <w:rtl/>
        </w:rPr>
        <w:t xml:space="preserve"> אפר פרה כעניין שאמרו בזבחים [צ'.] למקראה הקדימה הכתוב </w:t>
      </w:r>
      <w:proofErr w:type="spellStart"/>
      <w:r>
        <w:rPr>
          <w:rFonts w:hint="cs"/>
          <w:rtl/>
        </w:rPr>
        <w:t>ופירש"י</w:t>
      </w:r>
      <w:proofErr w:type="spellEnd"/>
      <w:r>
        <w:rPr>
          <w:rFonts w:hint="cs"/>
          <w:rtl/>
        </w:rPr>
        <w:t xml:space="preserve"> בנדה שם שיהא קורין בעניין ע"ש וכ"ש בזמן הזה </w:t>
      </w:r>
      <w:proofErr w:type="spellStart"/>
      <w:r>
        <w:rPr>
          <w:rFonts w:hint="cs"/>
          <w:rtl/>
        </w:rPr>
        <w:t>דליכא</w:t>
      </w:r>
      <w:proofErr w:type="spellEnd"/>
      <w:r>
        <w:rPr>
          <w:rFonts w:hint="cs"/>
          <w:rtl/>
        </w:rPr>
        <w:t xml:space="preserve"> עצם </w:t>
      </w:r>
      <w:proofErr w:type="spellStart"/>
      <w:r>
        <w:rPr>
          <w:rFonts w:hint="cs"/>
          <w:rtl/>
        </w:rPr>
        <w:t>המצוה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שהיתה</w:t>
      </w:r>
      <w:proofErr w:type="spellEnd"/>
      <w:r>
        <w:rPr>
          <w:rFonts w:hint="cs"/>
          <w:rtl/>
        </w:rPr>
        <w:t xml:space="preserve"> ראויה להיות בזמן הזה אם היה לנו אפר פרה </w:t>
      </w:r>
      <w:proofErr w:type="spellStart"/>
      <w:r>
        <w:rPr>
          <w:rFonts w:hint="cs"/>
          <w:rtl/>
        </w:rPr>
        <w:t>דוודאי</w:t>
      </w:r>
      <w:proofErr w:type="spellEnd"/>
      <w:r>
        <w:rPr>
          <w:rFonts w:hint="cs"/>
          <w:rtl/>
        </w:rPr>
        <w:t xml:space="preserve"> יש לומר שיש חיוב לקרות הפרשה</w:t>
      </w:r>
      <w:r>
        <w:t>:</w:t>
      </w:r>
    </w:p>
    <w:p w14:paraId="7A63E0FF" w14:textId="77777777" w:rsidR="00A92E35" w:rsidRDefault="00A92E35" w:rsidP="00E06558">
      <w:pPr>
        <w:pStyle w:val="Heading2"/>
        <w:rPr>
          <w:rtl/>
        </w:rPr>
      </w:pPr>
      <w:r>
        <w:rPr>
          <w:rFonts w:hint="cs"/>
          <w:rtl/>
        </w:rPr>
        <w:t>ברכת פרץ (</w:t>
      </w:r>
      <w:proofErr w:type="spellStart"/>
      <w:r>
        <w:rPr>
          <w:rFonts w:hint="cs"/>
          <w:rtl/>
        </w:rPr>
        <w:t>סטייפלר</w:t>
      </w:r>
      <w:proofErr w:type="spellEnd"/>
      <w:r>
        <w:rPr>
          <w:rFonts w:hint="cs"/>
          <w:rtl/>
        </w:rPr>
        <w:t>) פרשת חוקת, עמ' נט</w:t>
      </w:r>
      <w:r>
        <w:rPr>
          <w:sz w:val="22"/>
          <w:szCs w:val="22"/>
        </w:rPr>
        <w:t xml:space="preserve"> (</w:t>
      </w:r>
      <w:hyperlink r:id="rId6" w:history="1">
        <w:r>
          <w:rPr>
            <w:rStyle w:val="Hyperlink"/>
            <w:rFonts w:hint="cs"/>
            <w:sz w:val="22"/>
            <w:szCs w:val="22"/>
            <w:rtl/>
          </w:rPr>
          <w:t>קישור</w:t>
        </w:r>
      </w:hyperlink>
      <w:r>
        <w:rPr>
          <w:sz w:val="22"/>
          <w:szCs w:val="22"/>
        </w:rPr>
        <w:t>(</w:t>
      </w:r>
    </w:p>
    <w:p w14:paraId="64BB7F16" w14:textId="77777777" w:rsidR="00A92E35" w:rsidRDefault="00A92E35" w:rsidP="00A92E35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5402B45" wp14:editId="69C8DEF7">
            <wp:extent cx="4987925" cy="4197985"/>
            <wp:effectExtent l="0" t="0" r="3175" b="0"/>
            <wp:docPr id="902358887" name="Picture 902358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1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50ED" w14:textId="77777777" w:rsidR="00A92E35" w:rsidRDefault="00A92E35" w:rsidP="00A92E35">
      <w:pPr>
        <w:rPr>
          <w:rtl/>
        </w:rPr>
      </w:pPr>
      <w:r>
        <w:rPr>
          <w:noProof/>
        </w:rPr>
        <w:drawing>
          <wp:inline distT="0" distB="0" distL="0" distR="0" wp14:anchorId="5A1E8EF5" wp14:editId="615F360D">
            <wp:extent cx="5022215" cy="2625725"/>
            <wp:effectExtent l="0" t="0" r="6985" b="3175"/>
            <wp:docPr id="902358886" name="Picture 9023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9" b="6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5716" w14:textId="77777777" w:rsidR="00E06558" w:rsidRDefault="00E06558" w:rsidP="00E06558">
      <w:pPr>
        <w:pStyle w:val="Heading1"/>
        <w:rPr>
          <w:rtl/>
        </w:rPr>
      </w:pPr>
      <w:r>
        <w:rPr>
          <w:rFonts w:hint="cs"/>
          <w:rtl/>
        </w:rPr>
        <w:t xml:space="preserve">נדה </w:t>
      </w:r>
      <w:r>
        <w:rPr>
          <w:rtl/>
        </w:rPr>
        <w:t>–</w:t>
      </w:r>
      <w:r>
        <w:rPr>
          <w:rFonts w:hint="cs"/>
          <w:rtl/>
        </w:rPr>
        <w:t xml:space="preserve"> בועל זבה קטנה שנעשית גדולה</w:t>
      </w:r>
    </w:p>
    <w:p w14:paraId="09F1A94F" w14:textId="77777777" w:rsidR="00E06558" w:rsidRDefault="00E06558" w:rsidP="00E06558">
      <w:pPr>
        <w:pStyle w:val="Heading2"/>
        <w:rPr>
          <w:rtl/>
        </w:rPr>
      </w:pPr>
      <w:r>
        <w:rPr>
          <w:rFonts w:hint="cs"/>
          <w:rtl/>
        </w:rPr>
        <w:t>עצי ברושים סימן לט</w:t>
      </w:r>
    </w:p>
    <w:p w14:paraId="16F8E5A9" w14:textId="77777777" w:rsidR="00E06558" w:rsidRDefault="00E06558" w:rsidP="00E06558">
      <w:pPr>
        <w:rPr>
          <w:rtl/>
        </w:rPr>
      </w:pPr>
      <w:r w:rsidRPr="00E06558">
        <w:rPr>
          <w:noProof/>
        </w:rPr>
        <w:lastRenderedPageBreak/>
        <w:drawing>
          <wp:inline distT="0" distB="0" distL="0" distR="0" wp14:anchorId="5A22AEB0" wp14:editId="569E8C96">
            <wp:extent cx="54108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5371" w14:textId="77777777" w:rsidR="00E06558" w:rsidRPr="00E06558" w:rsidRDefault="00E06558" w:rsidP="00E06558">
      <w:r w:rsidRPr="00E06558">
        <w:rPr>
          <w:noProof/>
        </w:rPr>
        <w:lastRenderedPageBreak/>
        <w:drawing>
          <wp:inline distT="0" distB="0" distL="0" distR="0" wp14:anchorId="1EDD595E" wp14:editId="130DF058">
            <wp:extent cx="535114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0817" w14:textId="77777777" w:rsidR="000C25FD" w:rsidRDefault="00E06558" w:rsidP="00E06558">
      <w:pPr>
        <w:pStyle w:val="Heading1"/>
        <w:rPr>
          <w:rtl/>
        </w:rPr>
      </w:pPr>
      <w:r>
        <w:rPr>
          <w:rFonts w:hint="cs"/>
          <w:rtl/>
        </w:rPr>
        <w:lastRenderedPageBreak/>
        <w:t xml:space="preserve">נדה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="00F8563E">
        <w:rPr>
          <w:rFonts w:hint="cs"/>
          <w:rtl/>
        </w:rPr>
        <w:t>פרישה ב</w:t>
      </w:r>
      <w:r>
        <w:rPr>
          <w:rFonts w:hint="cs"/>
          <w:rtl/>
        </w:rPr>
        <w:t xml:space="preserve">עונה הסמוכה </w:t>
      </w:r>
      <w:proofErr w:type="spellStart"/>
      <w:r>
        <w:rPr>
          <w:rFonts w:hint="cs"/>
          <w:rtl/>
        </w:rPr>
        <w:t>לוסתה</w:t>
      </w:r>
      <w:proofErr w:type="spellEnd"/>
    </w:p>
    <w:p w14:paraId="5F2045BA" w14:textId="77777777" w:rsidR="00F8563E" w:rsidRDefault="00F8563E" w:rsidP="00F8563E">
      <w:pPr>
        <w:pStyle w:val="Heading2"/>
        <w:rPr>
          <w:rtl/>
        </w:rPr>
      </w:pPr>
      <w:r w:rsidRPr="00F8563E">
        <w:rPr>
          <w:rtl/>
        </w:rPr>
        <w:t xml:space="preserve">טהרת בת ישראל, </w:t>
      </w:r>
      <w:proofErr w:type="spellStart"/>
      <w:r w:rsidRPr="00F8563E">
        <w:rPr>
          <w:rtl/>
        </w:rPr>
        <w:t>להרב</w:t>
      </w:r>
      <w:proofErr w:type="spellEnd"/>
      <w:r w:rsidRPr="00F8563E">
        <w:rPr>
          <w:rtl/>
        </w:rPr>
        <w:t xml:space="preserve"> קלמן כהנא (מהד' תשל"ט) עמ' י</w:t>
      </w:r>
      <w:r w:rsidR="006E3EFC">
        <w:rPr>
          <w:rFonts w:hint="cs"/>
          <w:rtl/>
        </w:rPr>
        <w:t>א-יד</w:t>
      </w:r>
    </w:p>
    <w:p w14:paraId="741FD592" w14:textId="77777777" w:rsidR="006E3EFC" w:rsidRDefault="006E3EFC" w:rsidP="006E3EFC">
      <w:pPr>
        <w:rPr>
          <w:rtl/>
        </w:rPr>
      </w:pPr>
      <w:r w:rsidRPr="006E3EFC">
        <w:rPr>
          <w:noProof/>
        </w:rPr>
        <w:drawing>
          <wp:inline distT="0" distB="0" distL="0" distR="0" wp14:anchorId="52B8377A" wp14:editId="7AD6EE54">
            <wp:extent cx="5065395" cy="627287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3777"/>
                    <a:stretch/>
                  </pic:blipFill>
                  <pic:spPr bwMode="auto">
                    <a:xfrm>
                      <a:off x="0" y="0"/>
                      <a:ext cx="5065395" cy="627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13C8D" w14:textId="77777777" w:rsidR="006E3EFC" w:rsidRDefault="006E3EFC" w:rsidP="006E3EFC">
      <w:pPr>
        <w:rPr>
          <w:rtl/>
        </w:rPr>
      </w:pPr>
      <w:r>
        <w:rPr>
          <w:noProof/>
        </w:rPr>
        <w:drawing>
          <wp:inline distT="0" distB="0" distL="0" distR="0" wp14:anchorId="316A2DD3" wp14:editId="3254973A">
            <wp:extent cx="5029200" cy="41533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A019" w14:textId="77777777" w:rsidR="006E3EFC" w:rsidRPr="006E3EFC" w:rsidRDefault="006E3EFC" w:rsidP="006E3EF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6767523" wp14:editId="63D8351B">
            <wp:extent cx="5029200" cy="73557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C5BC" w14:textId="77777777" w:rsidR="00F8563E" w:rsidRDefault="00720DEF" w:rsidP="00F8563E">
      <w:pPr>
        <w:rPr>
          <w:rtl/>
        </w:rPr>
      </w:pPr>
      <w:r>
        <w:rPr>
          <w:noProof/>
        </w:rPr>
        <w:drawing>
          <wp:inline distT="0" distB="0" distL="0" distR="0" wp14:anchorId="10C0110F" wp14:editId="5F815B92">
            <wp:extent cx="5029200" cy="536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727">
        <w:rPr>
          <w:noProof/>
        </w:rPr>
        <w:drawing>
          <wp:inline distT="0" distB="0" distL="0" distR="0" wp14:anchorId="7DBEDFEC" wp14:editId="0B6071DA">
            <wp:extent cx="5029200" cy="75599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914A" w14:textId="4E73ABFA" w:rsidR="00392727" w:rsidRDefault="00392727" w:rsidP="00F8563E">
      <w:pPr>
        <w:rPr>
          <w:rtl/>
        </w:rPr>
      </w:pPr>
      <w:r>
        <w:rPr>
          <w:noProof/>
        </w:rPr>
        <w:drawing>
          <wp:inline distT="0" distB="0" distL="0" distR="0" wp14:anchorId="0C21167C" wp14:editId="568F5C7E">
            <wp:extent cx="5029200" cy="165114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5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68EA" w14:textId="1920B6DC" w:rsidR="00087BF9" w:rsidRDefault="00404B67" w:rsidP="00404B67">
      <w:pPr>
        <w:pStyle w:val="Heading1"/>
        <w:rPr>
          <w:rtl/>
        </w:rPr>
      </w:pPr>
      <w:r>
        <w:rPr>
          <w:rFonts w:hint="cs"/>
          <w:rtl/>
        </w:rPr>
        <w:t xml:space="preserve">תפילין </w:t>
      </w:r>
      <w:r>
        <w:rPr>
          <w:rtl/>
        </w:rPr>
        <w:t>–</w:t>
      </w:r>
      <w:r>
        <w:rPr>
          <w:rFonts w:hint="cs"/>
          <w:rtl/>
        </w:rPr>
        <w:t xml:space="preserve"> מי קודם </w:t>
      </w:r>
      <w:r>
        <w:rPr>
          <w:rtl/>
        </w:rPr>
        <w:t>–</w:t>
      </w:r>
      <w:r>
        <w:rPr>
          <w:rFonts w:hint="cs"/>
          <w:rtl/>
        </w:rPr>
        <w:t xml:space="preserve"> הלבוש או הנושא</w:t>
      </w:r>
      <w:r w:rsidR="00F93DC8">
        <w:rPr>
          <w:rFonts w:hint="cs"/>
          <w:rtl/>
        </w:rPr>
        <w:t>ם</w:t>
      </w:r>
    </w:p>
    <w:p w14:paraId="37C4D6ED" w14:textId="4D0A6A2A" w:rsidR="00404B67" w:rsidRDefault="00404B67" w:rsidP="00404B67">
      <w:pPr>
        <w:pStyle w:val="Heading2"/>
        <w:rPr>
          <w:rtl/>
        </w:rPr>
      </w:pPr>
      <w:bookmarkStart w:id="1" w:name="_GoBack"/>
      <w:bookmarkEnd w:id="1"/>
      <w:r>
        <w:rPr>
          <w:rFonts w:hint="cs"/>
          <w:rtl/>
        </w:rPr>
        <w:t>פסקי תשובה סימן קנז</w:t>
      </w:r>
    </w:p>
    <w:p w14:paraId="2397AF1E" w14:textId="1B179EF7" w:rsidR="00404B67" w:rsidRDefault="00404B67" w:rsidP="00404B67">
      <w:r w:rsidRPr="00404B67">
        <w:rPr>
          <w:noProof/>
          <w:rtl/>
        </w:rPr>
        <w:drawing>
          <wp:inline distT="0" distB="0" distL="0" distR="0" wp14:anchorId="2FDB2722" wp14:editId="4B59EF51">
            <wp:extent cx="5902036" cy="2505710"/>
            <wp:effectExtent l="0" t="0" r="381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99"/>
                    <a:stretch/>
                  </pic:blipFill>
                  <pic:spPr bwMode="auto">
                    <a:xfrm>
                      <a:off x="0" y="0"/>
                      <a:ext cx="5902036" cy="25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F956D" w14:textId="77777777" w:rsidR="00AF7535" w:rsidRDefault="00AF7535" w:rsidP="00AF7535">
      <w:pPr>
        <w:pStyle w:val="Heading1"/>
      </w:pPr>
      <w:bookmarkStart w:id="2" w:name="_Toc521479050"/>
      <w:bookmarkStart w:id="3" w:name="_Toc521479051"/>
      <w:bookmarkStart w:id="4" w:name="_Toc497158328"/>
      <w:r>
        <w:rPr>
          <w:rFonts w:hint="cs"/>
          <w:rtl/>
        </w:rPr>
        <w:t>עיר, חצר, ובני העיר – הגדרתם</w:t>
      </w:r>
      <w:bookmarkEnd w:id="2"/>
    </w:p>
    <w:p w14:paraId="58B466EA" w14:textId="77777777" w:rsidR="00AF7535" w:rsidRDefault="00AF7535" w:rsidP="00AF7535">
      <w:pPr>
        <w:pStyle w:val="Heading2"/>
        <w:rPr>
          <w:rFonts w:hint="cs"/>
          <w:shd w:val="clear" w:color="auto" w:fill="FFFFFF"/>
          <w:rtl/>
        </w:rPr>
      </w:pPr>
      <w:r>
        <w:rPr>
          <w:rFonts w:hint="cs"/>
          <w:shd w:val="clear" w:color="auto" w:fill="FFFFFF"/>
          <w:rtl/>
        </w:rPr>
        <w:t>ערכין לב.</w:t>
      </w:r>
    </w:p>
    <w:p w14:paraId="1BDD0390" w14:textId="77777777" w:rsidR="00AF7535" w:rsidRDefault="00AF7535" w:rsidP="00AF7535">
      <w:pPr>
        <w:pStyle w:val="Heading2"/>
        <w:rPr>
          <w:shd w:val="clear" w:color="auto" w:fill="FFFFFF"/>
        </w:rPr>
      </w:pPr>
      <w:r>
        <w:rPr>
          <w:rFonts w:hint="cs"/>
          <w:shd w:val="clear" w:color="auto" w:fill="FFFFFF"/>
          <w:rtl/>
        </w:rPr>
        <w:t>עירובין נט</w:t>
      </w:r>
      <w:r>
        <w:rPr>
          <w:shd w:val="clear" w:color="auto" w:fill="FFFFFF"/>
        </w:rPr>
        <w:t>.</w:t>
      </w:r>
    </w:p>
    <w:p w14:paraId="08DE7C04" w14:textId="77777777" w:rsidR="00AF7535" w:rsidRDefault="00AF7535" w:rsidP="00AF7535">
      <w:pPr>
        <w:pStyle w:val="Heading2"/>
        <w:rPr>
          <w:rFonts w:hint="cs"/>
          <w:shd w:val="clear" w:color="auto" w:fill="FFFFFF"/>
          <w:rtl/>
        </w:rPr>
      </w:pPr>
      <w:r>
        <w:rPr>
          <w:rFonts w:hint="cs"/>
          <w:shd w:val="clear" w:color="auto" w:fill="FFFFFF"/>
          <w:rtl/>
        </w:rPr>
        <w:lastRenderedPageBreak/>
        <w:t xml:space="preserve">תוספות עירובין </w:t>
      </w:r>
      <w:proofErr w:type="spellStart"/>
      <w:r>
        <w:rPr>
          <w:rFonts w:hint="cs"/>
          <w:shd w:val="clear" w:color="auto" w:fill="FFFFFF"/>
          <w:rtl/>
        </w:rPr>
        <w:t>נז</w:t>
      </w:r>
      <w:proofErr w:type="spellEnd"/>
      <w:r>
        <w:rPr>
          <w:rFonts w:hint="cs"/>
          <w:shd w:val="clear" w:color="auto" w:fill="FFFFFF"/>
          <w:rtl/>
        </w:rPr>
        <w:t xml:space="preserve">. ד"ה רב </w:t>
      </w:r>
      <w:proofErr w:type="spellStart"/>
      <w:r>
        <w:rPr>
          <w:rFonts w:hint="cs"/>
          <w:shd w:val="clear" w:color="auto" w:fill="FFFFFF"/>
          <w:rtl/>
        </w:rPr>
        <w:t>הונא</w:t>
      </w:r>
      <w:proofErr w:type="spellEnd"/>
    </w:p>
    <w:p w14:paraId="5A484A9E" w14:textId="77777777" w:rsidR="00AF7535" w:rsidRDefault="00AF7535" w:rsidP="00AF7535">
      <w:pPr>
        <w:pStyle w:val="Heading2"/>
        <w:rPr>
          <w:rFonts w:hint="cs"/>
          <w:shd w:val="clear" w:color="auto" w:fill="FFFFFF"/>
          <w:rtl/>
        </w:rPr>
      </w:pPr>
      <w:r>
        <w:rPr>
          <w:rFonts w:hint="cs"/>
          <w:shd w:val="clear" w:color="auto" w:fill="FFFFFF"/>
          <w:rtl/>
        </w:rPr>
        <w:t xml:space="preserve">ארץ הצבי עמ' </w:t>
      </w:r>
      <w:proofErr w:type="spellStart"/>
      <w:r>
        <w:rPr>
          <w:rFonts w:hint="cs"/>
          <w:shd w:val="clear" w:color="auto" w:fill="FFFFFF"/>
          <w:rtl/>
        </w:rPr>
        <w:t>קכה</w:t>
      </w:r>
      <w:proofErr w:type="spellEnd"/>
    </w:p>
    <w:p w14:paraId="22636CD6" w14:textId="77777777" w:rsidR="00AF7535" w:rsidRDefault="00AF7535" w:rsidP="00AF7535">
      <w:pPr>
        <w:pStyle w:val="Heading2"/>
        <w:rPr>
          <w:rFonts w:hint="cs"/>
          <w:rtl/>
        </w:rPr>
      </w:pPr>
      <w:r>
        <w:rPr>
          <w:rFonts w:hint="cs"/>
          <w:rtl/>
        </w:rPr>
        <w:t>בעקבי הצאן סימן כ בהערה</w:t>
      </w:r>
    </w:p>
    <w:p w14:paraId="5B53149F" w14:textId="77777777" w:rsidR="00AF7535" w:rsidRDefault="00AF7535" w:rsidP="00AF7535">
      <w:pPr>
        <w:pStyle w:val="Heading1"/>
      </w:pPr>
      <w:r>
        <w:rPr>
          <w:rFonts w:hint="cs"/>
          <w:rtl/>
        </w:rPr>
        <w:t>עיר – בן עיר – כמה זמן צריך לגור שם</w:t>
      </w:r>
      <w:bookmarkEnd w:id="3"/>
      <w:bookmarkEnd w:id="4"/>
    </w:p>
    <w:p w14:paraId="1D4B1186" w14:textId="77777777" w:rsidR="00AF7535" w:rsidRDefault="00AF7535" w:rsidP="00AF7535">
      <w:pPr>
        <w:pStyle w:val="Heading2"/>
        <w:rPr>
          <w:rFonts w:hint="cs"/>
          <w:shd w:val="clear" w:color="auto" w:fill="FFFFFF"/>
          <w:rtl/>
        </w:rPr>
      </w:pPr>
      <w:r>
        <w:rPr>
          <w:rFonts w:hint="cs"/>
          <w:shd w:val="clear" w:color="auto" w:fill="FFFFFF"/>
          <w:rtl/>
        </w:rPr>
        <w:t>בבא בתרא ח</w:t>
      </w:r>
      <w:r>
        <w:rPr>
          <w:shd w:val="clear" w:color="auto" w:fill="FFFFFF"/>
        </w:rPr>
        <w:t>.</w:t>
      </w:r>
    </w:p>
    <w:p w14:paraId="63EBFB86" w14:textId="77777777" w:rsidR="00AF7535" w:rsidRDefault="00AF7535" w:rsidP="00AF7535">
      <w:pPr>
        <w:rPr>
          <w:rFonts w:hint="cs"/>
          <w:rtl/>
        </w:rPr>
      </w:pPr>
      <w:r>
        <w:rPr>
          <w:rFonts w:hint="cs"/>
          <w:rtl/>
        </w:rPr>
        <w:t xml:space="preserve">וכמה יהא בעיר ויהא כאנשי העיר </w:t>
      </w:r>
      <w:proofErr w:type="spellStart"/>
      <w:r>
        <w:rPr>
          <w:rFonts w:hint="cs"/>
          <w:rtl/>
        </w:rPr>
        <w:t>וכו</w:t>
      </w:r>
      <w:proofErr w:type="spellEnd"/>
      <w:r>
        <w:rPr>
          <w:rFonts w:hint="cs"/>
          <w:rtl/>
        </w:rPr>
        <w:t xml:space="preserve">'. </w:t>
      </w:r>
      <w:proofErr w:type="spellStart"/>
      <w:r>
        <w:rPr>
          <w:rFonts w:hint="cs"/>
          <w:rtl/>
        </w:rPr>
        <w:t>ורמינהי</w:t>
      </w:r>
      <w:proofErr w:type="spellEnd"/>
      <w:r>
        <w:rPr>
          <w:rFonts w:hint="cs"/>
          <w:rtl/>
        </w:rPr>
        <w:t xml:space="preserve">: החמרת והגמלת העוברת ממקום למקום, ולנה בתוכה והודחה עמהן - הן בסקילה וממונן פלט, ואם נשתהו שם שלשים יום - הן בסייף וממונן אבד! אמר רבא, לא </w:t>
      </w:r>
      <w:proofErr w:type="spellStart"/>
      <w:r>
        <w:rPr>
          <w:rFonts w:hint="cs"/>
          <w:rtl/>
        </w:rPr>
        <w:t>קשיא</w:t>
      </w:r>
      <w:proofErr w:type="spellEnd"/>
      <w:r>
        <w:rPr>
          <w:rFonts w:hint="cs"/>
          <w:rtl/>
        </w:rPr>
        <w:t xml:space="preserve">: הא לבני מתא, הא </w:t>
      </w:r>
      <w:proofErr w:type="spellStart"/>
      <w:r>
        <w:rPr>
          <w:rFonts w:hint="cs"/>
          <w:rtl/>
        </w:rPr>
        <w:t>ליתובי</w:t>
      </w:r>
      <w:proofErr w:type="spellEnd"/>
      <w:r>
        <w:rPr>
          <w:rFonts w:hint="cs"/>
          <w:rtl/>
        </w:rPr>
        <w:t xml:space="preserve"> מתא; </w:t>
      </w:r>
      <w:proofErr w:type="spellStart"/>
      <w:r>
        <w:rPr>
          <w:rFonts w:hint="cs"/>
          <w:rtl/>
        </w:rPr>
        <w:t>כדתניא</w:t>
      </w:r>
      <w:proofErr w:type="spellEnd"/>
      <w:r>
        <w:rPr>
          <w:rFonts w:hint="cs"/>
          <w:rtl/>
        </w:rPr>
        <w:t xml:space="preserve">: המודר הנאה מאנשי העיר, כל </w:t>
      </w:r>
      <w:proofErr w:type="spellStart"/>
      <w:r>
        <w:rPr>
          <w:rFonts w:hint="cs"/>
          <w:rtl/>
        </w:rPr>
        <w:t>שנשתהא</w:t>
      </w:r>
      <w:proofErr w:type="spellEnd"/>
      <w:r>
        <w:rPr>
          <w:rFonts w:hint="cs"/>
          <w:rtl/>
        </w:rPr>
        <w:t xml:space="preserve"> שם שנים עשר חדש - אסור ליהנות ממנו, פחות מכאן - מותר; מיושבי העיר, כל </w:t>
      </w:r>
      <w:proofErr w:type="spellStart"/>
      <w:r>
        <w:rPr>
          <w:rFonts w:hint="cs"/>
          <w:rtl/>
        </w:rPr>
        <w:t>שנשתהא</w:t>
      </w:r>
      <w:proofErr w:type="spellEnd"/>
      <w:r>
        <w:rPr>
          <w:rFonts w:hint="cs"/>
          <w:rtl/>
        </w:rPr>
        <w:t xml:space="preserve"> שם שלשים יום - אסור ליהנות ממנו, פחות מכאן - מותר ליהנות ממנו. ולכל מילי מי בעינן י"ב חדש? </w:t>
      </w:r>
      <w:proofErr w:type="spellStart"/>
      <w:r>
        <w:rPr>
          <w:rFonts w:hint="cs"/>
          <w:rtl/>
        </w:rPr>
        <w:t>והתניא</w:t>
      </w:r>
      <w:proofErr w:type="spellEnd"/>
      <w:r>
        <w:rPr>
          <w:rFonts w:hint="cs"/>
          <w:rtl/>
        </w:rPr>
        <w:t xml:space="preserve">: שלשים יום - לתמחוי, שלשה חדשים - לקופה, ששה - לכסות, תשעה - לקבורה, שנים עשר - לפסי העיר! אמר ר' אסי אמר ר' יוחנן: כי תנן </w:t>
      </w:r>
      <w:proofErr w:type="spellStart"/>
      <w:r>
        <w:rPr>
          <w:rFonts w:hint="cs"/>
          <w:rtl/>
        </w:rPr>
        <w:t>נמי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מתניתין</w:t>
      </w:r>
      <w:proofErr w:type="spellEnd"/>
      <w:r>
        <w:rPr>
          <w:rFonts w:hint="cs"/>
          <w:rtl/>
        </w:rPr>
        <w:t xml:space="preserve"> שנים עשר חדש - לפסי העיר תנן</w:t>
      </w:r>
      <w:r>
        <w:t>.</w:t>
      </w:r>
    </w:p>
    <w:p w14:paraId="6F1D2635" w14:textId="77777777" w:rsidR="00AF7535" w:rsidRDefault="00AF7535" w:rsidP="00AF7535">
      <w:pPr>
        <w:pStyle w:val="Heading2"/>
        <w:rPr>
          <w:rFonts w:hint="cs"/>
          <w:shd w:val="clear" w:color="auto" w:fill="FFFFFF"/>
          <w:rtl/>
        </w:rPr>
      </w:pPr>
      <w:r>
        <w:rPr>
          <w:rFonts w:hint="cs"/>
          <w:shd w:val="clear" w:color="auto" w:fill="FFFFFF"/>
          <w:rtl/>
        </w:rPr>
        <w:t xml:space="preserve">מגן אברהם סימן </w:t>
      </w:r>
      <w:proofErr w:type="spellStart"/>
      <w:r>
        <w:rPr>
          <w:rFonts w:hint="cs"/>
          <w:shd w:val="clear" w:color="auto" w:fill="FFFFFF"/>
          <w:rtl/>
        </w:rPr>
        <w:t>רמח:טו</w:t>
      </w:r>
      <w:proofErr w:type="spellEnd"/>
    </w:p>
    <w:p w14:paraId="4C4FB9FC" w14:textId="77777777" w:rsidR="00AF7535" w:rsidRDefault="00AF7535" w:rsidP="00AF7535">
      <w:pPr>
        <w:rPr>
          <w:rFonts w:hint="cs"/>
          <w:rtl/>
        </w:rPr>
      </w:pPr>
      <w:r>
        <w:rPr>
          <w:rFonts w:hint="cs"/>
          <w:rtl/>
        </w:rPr>
        <w:t xml:space="preserve">והעולה לא"י - ודוק' ע"ד להתיישב וי"א אפי' ע"מ להחזיר כיון </w:t>
      </w:r>
      <w:proofErr w:type="spellStart"/>
      <w:r>
        <w:rPr>
          <w:rFonts w:hint="cs"/>
          <w:rtl/>
        </w:rPr>
        <w:t>דאפי</w:t>
      </w:r>
      <w:proofErr w:type="spellEnd"/>
      <w:r>
        <w:rPr>
          <w:rFonts w:hint="cs"/>
          <w:rtl/>
        </w:rPr>
        <w:t>' מהלך ד"א בא"י מצוה היא (כ"ה:)</w:t>
      </w:r>
    </w:p>
    <w:p w14:paraId="743A3C13" w14:textId="4405A713" w:rsidR="00AF7535" w:rsidRPr="00404B67" w:rsidRDefault="00AF7535" w:rsidP="00AF7535">
      <w:pPr>
        <w:pStyle w:val="Heading2"/>
        <w:rPr>
          <w:rFonts w:hint="cs"/>
        </w:rPr>
      </w:pPr>
      <w:r>
        <w:rPr>
          <w:rFonts w:hint="cs"/>
          <w:rtl/>
        </w:rPr>
        <w:t>משנה ברורה</w:t>
      </w:r>
    </w:p>
    <w:sectPr w:rsidR="00AF7535" w:rsidRPr="00404B67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641BF" w14:textId="77777777" w:rsidR="00493D86" w:rsidRDefault="00493D86" w:rsidP="009F4441">
      <w:pPr>
        <w:spacing w:after="0" w:line="240" w:lineRule="auto"/>
      </w:pPr>
      <w:r>
        <w:separator/>
      </w:r>
    </w:p>
  </w:endnote>
  <w:endnote w:type="continuationSeparator" w:id="0">
    <w:p w14:paraId="3B95206B" w14:textId="77777777" w:rsidR="00493D86" w:rsidRDefault="00493D86" w:rsidP="009F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6BD48" w14:textId="77777777" w:rsidR="00F8563E" w:rsidRDefault="00F8563E">
    <w:pPr>
      <w:pStyle w:val="Footer"/>
    </w:pPr>
    <w:r>
      <w:rPr>
        <w:rFonts w:hint="cs"/>
        <w:rtl/>
      </w:rPr>
      <w:t>הוכן על ידי התלמידים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85157" w14:textId="77777777" w:rsidR="00493D86" w:rsidRDefault="00493D86" w:rsidP="009F4441">
      <w:pPr>
        <w:spacing w:after="0" w:line="240" w:lineRule="auto"/>
      </w:pPr>
      <w:r>
        <w:separator/>
      </w:r>
    </w:p>
  </w:footnote>
  <w:footnote w:type="continuationSeparator" w:id="0">
    <w:p w14:paraId="6CC55CCE" w14:textId="77777777" w:rsidR="00493D86" w:rsidRDefault="00493D86" w:rsidP="009F4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7A9E4" w14:textId="77777777" w:rsidR="00F8563E" w:rsidRDefault="00F8563E" w:rsidP="000D7D13">
    <w:pPr>
      <w:spacing w:after="0" w:line="240" w:lineRule="auto"/>
      <w:jc w:val="center"/>
      <w:rPr>
        <w:rtl/>
      </w:rPr>
    </w:pPr>
    <w:r w:rsidRPr="00C52284">
      <w:rPr>
        <w:rtl/>
      </w:rPr>
      <w:t>הרב צבי שכטר</w:t>
    </w:r>
    <w: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tab/>
    </w:r>
    <w:r w:rsidRPr="00C52284">
      <w:tab/>
    </w:r>
    <w:r w:rsidRPr="00C52284">
      <w:rPr>
        <w:rtl/>
      </w:rPr>
      <w:tab/>
    </w:r>
    <w:r w:rsidRPr="00C52284">
      <w:tab/>
    </w:r>
    <w:r w:rsidRPr="00C52284">
      <w:rPr>
        <w:rtl/>
      </w:rPr>
      <w:tab/>
    </w:r>
    <w:r>
      <w:rPr>
        <w:rtl/>
      </w:rPr>
      <w:tab/>
    </w:r>
    <w:r w:rsidR="006E3EFC">
      <w:rPr>
        <w:rFonts w:hint="cs"/>
        <w:rtl/>
      </w:rPr>
      <w:t xml:space="preserve">     מצוות הפרשה</w:t>
    </w:r>
  </w:p>
  <w:p w14:paraId="080D7489" w14:textId="77777777" w:rsidR="00F8563E" w:rsidRPr="009F4441" w:rsidRDefault="00F8563E" w:rsidP="000D7D13">
    <w:pPr>
      <w:spacing w:after="0" w:line="240" w:lineRule="auto"/>
    </w:pPr>
    <w:r w:rsidRPr="00C52284">
      <w:rPr>
        <w:rtl/>
      </w:rPr>
      <w:t>‏</w:t>
    </w:r>
    <w:r>
      <w:rPr>
        <w:rFonts w:hint="cs"/>
        <w:rtl/>
      </w:rPr>
      <w:t>‏</w:t>
    </w:r>
    <w:r w:rsidR="006E3EFC" w:rsidRPr="006E3EFC">
      <w:rPr>
        <w:rtl/>
      </w:rPr>
      <w:t>‏כ"ז אדר ב תשע"ט</w:t>
    </w:r>
    <w:r w:rsidR="006E3EFC" w:rsidRPr="006E3EFC">
      <w:rPr>
        <w:rtl/>
      </w:rPr>
      <w:tab/>
    </w:r>
    <w:r w:rsidR="006E3EFC" w:rsidRPr="006E3EFC">
      <w:rPr>
        <w:rtl/>
      </w:rPr>
      <w:tab/>
    </w:r>
    <w:r w:rsidR="006E3EFC" w:rsidRPr="006E3EFC"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F8"/>
    <w:rsid w:val="00087BF9"/>
    <w:rsid w:val="000C25FD"/>
    <w:rsid w:val="000D7D13"/>
    <w:rsid w:val="001A3E2F"/>
    <w:rsid w:val="002D7162"/>
    <w:rsid w:val="00367FF8"/>
    <w:rsid w:val="00392727"/>
    <w:rsid w:val="00404B67"/>
    <w:rsid w:val="00493D86"/>
    <w:rsid w:val="006546BE"/>
    <w:rsid w:val="006E3EFC"/>
    <w:rsid w:val="00720DEF"/>
    <w:rsid w:val="00771609"/>
    <w:rsid w:val="009F4441"/>
    <w:rsid w:val="00A92E35"/>
    <w:rsid w:val="00AF7535"/>
    <w:rsid w:val="00C47AA7"/>
    <w:rsid w:val="00E019E9"/>
    <w:rsid w:val="00E06558"/>
    <w:rsid w:val="00F8563E"/>
    <w:rsid w:val="00F9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0972F"/>
  <w15:chartTrackingRefBased/>
  <w15:docId w15:val="{F10E6822-4FD7-4C7D-BB24-918B0CAF3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2E35"/>
    <w:pPr>
      <w:bidi/>
    </w:pPr>
    <w:rPr>
      <w:rFonts w:ascii="Narkisim" w:hAnsi="Narkisim" w:cs="Narkisim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9F4441"/>
    <w:pPr>
      <w:spacing w:after="240"/>
      <w:outlineLvl w:val="0"/>
    </w:pPr>
    <w:rPr>
      <w:rFonts w:ascii="Narkisim" w:eastAsia="Calibri" w:hAnsi="Narkisim" w:cs="Narkisim"/>
      <w:b/>
      <w:bCs/>
      <w:color w:val="auto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441"/>
    <w:pPr>
      <w:outlineLvl w:val="1"/>
    </w:pPr>
    <w:rPr>
      <w:rFonts w:eastAsia="Calibri"/>
      <w:color w:val="000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2E35"/>
    <w:pPr>
      <w:outlineLvl w:val="3"/>
    </w:pPr>
    <w:rPr>
      <w:color w:val="0000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441"/>
    <w:rPr>
      <w:rFonts w:ascii="Narkisim" w:eastAsia="Calibri" w:hAnsi="Narkisim" w:cs="Narkisim"/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4441"/>
    <w:rPr>
      <w:rFonts w:ascii="Narkisim" w:eastAsia="Calibri" w:hAnsi="Narkisim" w:cs="Narkisim"/>
      <w:color w:val="000080"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9F4441"/>
    <w:pPr>
      <w:bidi w:val="0"/>
      <w:jc w:val="center"/>
    </w:pPr>
    <w:rPr>
      <w:b w:val="0"/>
      <w:bCs w:val="0"/>
      <w:sz w:val="48"/>
      <w:szCs w:val="48"/>
      <w:u w:val="none"/>
      <w:shd w:val="clear" w:color="auto" w:fill="FFFFFF"/>
    </w:rPr>
  </w:style>
  <w:style w:type="character" w:customStyle="1" w:styleId="TitleChar">
    <w:name w:val="Title Char"/>
    <w:basedOn w:val="DefaultParagraphFont"/>
    <w:link w:val="Title"/>
    <w:uiPriority w:val="10"/>
    <w:rsid w:val="009F4441"/>
    <w:rPr>
      <w:rFonts w:ascii="Narkisim" w:eastAsia="Calibri" w:hAnsi="Narkisim" w:cs="Narkisim"/>
      <w:sz w:val="48"/>
      <w:szCs w:val="48"/>
    </w:rPr>
  </w:style>
  <w:style w:type="paragraph" w:styleId="Subtitle">
    <w:name w:val="Subtitle"/>
    <w:basedOn w:val="Title"/>
    <w:next w:val="Normal"/>
    <w:link w:val="SubtitleChar"/>
    <w:uiPriority w:val="11"/>
    <w:qFormat/>
    <w:rsid w:val="009F4441"/>
    <w:pPr>
      <w:bidi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F4441"/>
    <w:rPr>
      <w:rFonts w:ascii="Narkisim" w:eastAsia="Calibri" w:hAnsi="Narkisim" w:cs="Narkisim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4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41"/>
    <w:rPr>
      <w:rFonts w:ascii="Narkisim" w:hAnsi="Narkisim" w:cs="Narkisim"/>
    </w:rPr>
  </w:style>
  <w:style w:type="paragraph" w:styleId="Footer">
    <w:name w:val="footer"/>
    <w:basedOn w:val="Normal"/>
    <w:link w:val="FooterChar"/>
    <w:uiPriority w:val="99"/>
    <w:unhideWhenUsed/>
    <w:rsid w:val="009F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41"/>
    <w:rPr>
      <w:rFonts w:ascii="Narkisim" w:hAnsi="Narkisim" w:cs="Narkisim"/>
    </w:rPr>
  </w:style>
  <w:style w:type="character" w:customStyle="1" w:styleId="Heading4Char">
    <w:name w:val="Heading 4 Char"/>
    <w:basedOn w:val="DefaultParagraphFont"/>
    <w:link w:val="Heading4"/>
    <w:uiPriority w:val="9"/>
    <w:rsid w:val="00A92E35"/>
    <w:rPr>
      <w:rFonts w:ascii="Narkisim" w:hAnsi="Narkisim" w:cs="Narkisim"/>
      <w:color w:val="00008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92E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E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E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4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otzar.org/wotzar/book.aspx?28023&amp;pageid=P005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de\AppData\Roaming\Microsoft\Templates\Shi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Shiur.dotx</Template>
  <TotalTime>445</TotalTime>
  <Pages>7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Mordechai Djavaheri</dc:creator>
  <cp:keywords/>
  <dc:description/>
  <cp:lastModifiedBy>Mordechai Djavaheri</cp:lastModifiedBy>
  <cp:revision>10</cp:revision>
  <dcterms:created xsi:type="dcterms:W3CDTF">2019-04-03T17:12:00Z</dcterms:created>
  <dcterms:modified xsi:type="dcterms:W3CDTF">2019-04-09T03:15:00Z</dcterms:modified>
</cp:coreProperties>
</file>